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4DBE" w14:textId="77777777" w:rsidR="006A4C72" w:rsidRPr="006A4C72" w:rsidRDefault="006A4C72" w:rsidP="006A4C72">
      <w:pPr>
        <w:rPr>
          <w:b/>
          <w:sz w:val="28"/>
          <w:szCs w:val="28"/>
        </w:rPr>
      </w:pPr>
      <w:r w:rsidRPr="006A4C72">
        <w:rPr>
          <w:b/>
          <w:noProof/>
          <w:sz w:val="28"/>
          <w:szCs w:val="2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5AF53A59" wp14:editId="0CCC568E">
                <wp:simplePos x="0" y="0"/>
                <wp:positionH relativeFrom="page">
                  <wp:align>center</wp:align>
                </wp:positionH>
                <wp:positionV relativeFrom="margin">
                  <wp:align>center</wp:align>
                </wp:positionV>
                <wp:extent cx="7552690" cy="9834880"/>
                <wp:effectExtent l="0" t="0" r="2540" b="381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2690" cy="9834880"/>
                          <a:chOff x="0" y="1440"/>
                          <a:chExt cx="12239" cy="13631"/>
                        </a:xfrm>
                      </wpg:grpSpPr>
                      <wpg:grpSp>
                        <wpg:cNvPr id="2" name=" 3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3" name=" 4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4" name=" 5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DFE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7" name="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 9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 10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 11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 12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 13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7000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 14"/>
                        <wps:cNvSpPr>
                          <a:spLocks/>
                        </wps:cNvSpPr>
                        <wps:spPr bwMode="auto">
                          <a:xfrm>
                            <a:off x="1405" y="1440"/>
                            <a:ext cx="9044" cy="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407C" w14:textId="77777777" w:rsidR="006A4C72" w:rsidRDefault="006A4C72" w:rsidP="006A4C72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  <w:p w14:paraId="14B37FAF" w14:textId="77777777" w:rsidR="006A4C72" w:rsidRPr="00512EEF" w:rsidRDefault="006A4C72" w:rsidP="006A4C72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" name=" 15"/>
                        <wps:cNvSpPr>
                          <a:spLocks/>
                        </wps:cNvSpPr>
                        <wps:spPr bwMode="auto">
                          <a:xfrm>
                            <a:off x="6494" y="11160"/>
                            <a:ext cx="4998" cy="3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ADCFD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</w:t>
                              </w:r>
                              <w:r w:rsidRPr="00F95E2A">
                                <w:rPr>
                                  <w:rFonts w:ascii="Arial" w:hAnsi="Arial" w:cs="Arial"/>
                                </w:rPr>
                                <w:t>AVNATELJ:</w:t>
                              </w:r>
                            </w:p>
                            <w:p w14:paraId="499C9E4A" w14:textId="77777777" w:rsidR="006A4C72" w:rsidRDefault="006A4C72" w:rsidP="006A4C72">
                              <w:pPr>
                                <w:tabs>
                                  <w:tab w:val="center" w:pos="4535"/>
                                </w:tabs>
                                <w:ind w:left="1416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ab/>
                                <w:t xml:space="preserve">               </w:t>
                              </w:r>
                              <w:r w:rsidRPr="00F95E2A">
                                <w:rPr>
                                  <w:rFonts w:ascii="Arial" w:hAnsi="Arial" w:cs="Arial"/>
                                </w:rPr>
                                <w:t xml:space="preserve">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                                    Anton Burić</w:t>
                              </w:r>
                              <w:r w:rsidRPr="00F95E2A">
                                <w:rPr>
                                  <w:rFonts w:ascii="Arial" w:hAnsi="Arial" w:cs="Arial"/>
                                </w:rPr>
                                <w:t>, prof.</w:t>
                              </w:r>
                            </w:p>
                            <w:p w14:paraId="1871688F" w14:textId="77777777" w:rsidR="006A4C72" w:rsidRDefault="006A4C72" w:rsidP="006A4C72">
                              <w:pPr>
                                <w:tabs>
                                  <w:tab w:val="center" w:pos="4535"/>
                                </w:tabs>
                                <w:ind w:left="1416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1C4EA19" w14:textId="77777777" w:rsidR="006A4C72" w:rsidRDefault="006A4C72" w:rsidP="006A4C72">
                              <w:pPr>
                                <w:tabs>
                                  <w:tab w:val="center" w:pos="4535"/>
                                </w:tabs>
                                <w:ind w:left="1416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A55AB1C" w14:textId="3A24130A" w:rsidR="006A4C72" w:rsidRPr="00F95E2A" w:rsidRDefault="003D760B" w:rsidP="006A4C72">
                              <w:pPr>
                                <w:tabs>
                                  <w:tab w:val="center" w:pos="4535"/>
                                </w:tabs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 xml:space="preserve">Vrbovsko, </w:t>
                              </w:r>
                              <w:r w:rsidR="00576AB9">
                                <w:rPr>
                                  <w:rFonts w:ascii="Arial" w:hAnsi="Arial" w:cs="Arial"/>
                                </w:rPr>
                                <w:t>27</w:t>
                              </w:r>
                              <w:r w:rsidR="007E6D2E">
                                <w:rPr>
                                  <w:rFonts w:ascii="Arial" w:hAnsi="Arial" w:cs="Arial"/>
                                </w:rPr>
                                <w:t>.03.202</w:t>
                              </w:r>
                              <w:r w:rsidR="00576AB9">
                                <w:rPr>
                                  <w:rFonts w:ascii="Arial" w:hAnsi="Arial" w:cs="Arial"/>
                                </w:rPr>
                                <w:t>5</w:t>
                              </w:r>
                              <w:r w:rsidR="006A4C72">
                                <w:rPr>
                                  <w:rFonts w:ascii="Arial" w:hAnsi="Arial" w:cs="Arial"/>
                                </w:rPr>
                                <w:t xml:space="preserve"> godine</w:t>
                              </w:r>
                            </w:p>
                            <w:p w14:paraId="1392057A" w14:textId="77777777" w:rsidR="006A4C72" w:rsidRDefault="006A4C72" w:rsidP="006A4C72">
                              <w:pPr>
                                <w:jc w:val="right"/>
                                <w:rPr>
                                  <w:sz w:val="96"/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5" name=" 16"/>
                        <wps:cNvSpPr>
                          <a:spLocks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94E01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0CC27514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1B12255C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22FEA87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345080C" w14:textId="77777777" w:rsidR="006A4C72" w:rsidRDefault="006A4C72" w:rsidP="006A4C72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2A528762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  <w:r w:rsidRPr="00115BE4">
                                <w:rPr>
                                  <w:rFonts w:ascii="Arial" w:hAnsi="Arial" w:cs="Arial"/>
                                  <w:i/>
                                  <w:sz w:val="40"/>
                                  <w:szCs w:val="40"/>
                                </w:rPr>
                                <w:t>OBRAZLOŽENJE</w:t>
                              </w:r>
                            </w:p>
                            <w:p w14:paraId="3B2077F8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67A735DD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14CA5826" w14:textId="5EE840A5" w:rsidR="006A4C72" w:rsidRDefault="003D760B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 xml:space="preserve">GODIŠNJEG </w:t>
                              </w:r>
                              <w:r w:rsidR="00E5447E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>IZVJEŠTAJA O IZVRŠENJU</w:t>
                              </w:r>
                              <w:r w:rsidR="006A4C72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 xml:space="preserve"> FINANCIJSKOG PLANA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 xml:space="preserve"> ZA 202</w:t>
                              </w:r>
                              <w:r w:rsidR="00576AB9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>4</w:t>
                              </w:r>
                              <w:r w:rsidR="00E5447E"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>. GODINU</w:t>
                              </w:r>
                            </w:p>
                            <w:p w14:paraId="31A45CC2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098745BD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258B0D2C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  <w:t>ZA 2022. GODINU</w:t>
                              </w:r>
                            </w:p>
                            <w:p w14:paraId="62851C96" w14:textId="77777777" w:rsidR="006A4C72" w:rsidRDefault="006A4C72" w:rsidP="006A4C72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40"/>
                                  <w:szCs w:val="40"/>
                                </w:rPr>
                              </w:pPr>
                            </w:p>
                            <w:p w14:paraId="27A68AE6" w14:textId="77777777" w:rsidR="006A4C72" w:rsidRDefault="006A4C72" w:rsidP="006A4C72">
                              <w:pPr>
                                <w:jc w:val="center"/>
                                <w:rPr>
                                  <w:b/>
                                  <w:bCs/>
                                  <w:color w:val="17365D"/>
                                  <w:sz w:val="40"/>
                                  <w:szCs w:val="40"/>
                                </w:rPr>
                              </w:pPr>
                            </w:p>
                            <w:p w14:paraId="3B2B5C51" w14:textId="77777777" w:rsidR="006A4C72" w:rsidRDefault="006A4C72" w:rsidP="006A4C72">
                              <w:pPr>
                                <w:jc w:val="center"/>
                                <w:rPr>
                                  <w:b/>
                                  <w:bCs/>
                                  <w:color w:val="808080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548DD4"/>
                                  <w:sz w:val="40"/>
                                  <w:szCs w:val="40"/>
                                </w:rPr>
                                <w:t>Osnovna škola Ivana Gorana Kovačića Vrbovsko</w:t>
                              </w:r>
                            </w:p>
                            <w:p w14:paraId="09816333" w14:textId="77777777" w:rsidR="006A4C72" w:rsidRPr="00512EEF" w:rsidRDefault="006A4C72" w:rsidP="006A4C72">
                              <w:pPr>
                                <w:rPr>
                                  <w:b/>
                                  <w:bCs/>
                                  <w:color w:val="80808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AF53A59" id=" 2" o:spid="_x0000_s1026" style="position:absolute;margin-left:0;margin-top:0;width:594.7pt;height:774.4pt;z-index:251659264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3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" o:allowincell="f">
                <v:group id=" 3" o:spid="_x0000_s1027" style="position:absolute;top:9661;width:12239;height:4739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 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 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  <v:fill opacity="32896f"/>
                      <v:path arrowok="t" o:connecttype="custom" o:connectlocs="0,0;17,2863;7132,2578;7132,200;0,0" o:connectangles="0,0,0,0,0"/>
                    </v:shape>
                    <v:shape id=" 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  <v:fill opacity="32896f"/>
                      <v:path arrowok="t" o:connecttype="custom" o:connectlocs="0,569;0,2930;3466,3550;3466,0;0,569" o:connectangles="0,0,0,0,0"/>
                    </v:shape>
                    <v:shape id=" 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 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  <v:path arrowok="t" o:connecttype="custom" o:connectlocs="1,251;0,2662;4120,2913;4120,0;1,251" o:connectangles="0,0,0,0,0"/>
                  </v:shape>
                  <v:shape id=" 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  <v:path arrowok="t" o:connecttype="custom" o:connectlocs="0,0;0,4236;3985,3349;3985,921;0,0" o:connectangles="0,0,0,0,0"/>
                  </v:shape>
                  <v:shape id=" 1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  <v:path arrowok="t" o:connecttype="custom" o:connectlocs="4086,0;4084,4253;0,3198;0,1072;4086,0" o:connectangles="0,0,0,0,0"/>
                  </v:shape>
                  <v:shape id=" 1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  <v:fill opacity="46003f"/>
                    <v:path arrowok="t" o:connecttype="custom" o:connectlocs="0,921;2060,0;2076,3851;0,2981;0,921" o:connectangles="0,0,0,0,0"/>
                  </v:shape>
                  <v:shape id=" 12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  <v:fill opacity="46003f"/>
                    <v:path arrowok="t" o:connecttype="custom" o:connectlocs="0,0;17,3835;6011,2629;6011,1239;0,0" o:connectangles="0,0,0,0,0"/>
                  </v:shape>
                  <v:shape id=" 13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 14" o:spid="_x0000_s1038" style="position:absolute;left:1405;top:1440;width:9044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" filled="f" stroked="f">
                  <v:path arrowok="t"/>
                  <v:textbox style="mso-fit-shape-to-text:t">
                    <w:txbxContent>
                      <w:p w14:paraId="1621407C" w14:textId="77777777" w:rsidR="006A4C72" w:rsidRDefault="006A4C72" w:rsidP="006A4C72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  <w:p w14:paraId="14B37FAF" w14:textId="77777777" w:rsidR="006A4C72" w:rsidRPr="00512EEF" w:rsidRDefault="006A4C72" w:rsidP="006A4C72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 15" o:spid="_x0000_s1039" style="position:absolute;left:6494;top:11160;width:4998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" filled="f" stroked="f">
                  <v:path arrowok="t"/>
                  <v:textbox style="mso-fit-shape-to-text:t">
                    <w:txbxContent>
                      <w:p w14:paraId="481ADCFD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R</w:t>
                        </w:r>
                        <w:r w:rsidRPr="00F95E2A">
                          <w:rPr>
                            <w:rFonts w:ascii="Arial" w:hAnsi="Arial" w:cs="Arial"/>
                          </w:rPr>
                          <w:t>AVNATELJ:</w:t>
                        </w:r>
                      </w:p>
                      <w:p w14:paraId="499C9E4A" w14:textId="77777777" w:rsidR="006A4C72" w:rsidRDefault="006A4C72" w:rsidP="006A4C72">
                        <w:pPr>
                          <w:tabs>
                            <w:tab w:val="center" w:pos="4535"/>
                          </w:tabs>
                          <w:ind w:left="1416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ab/>
                          <w:t xml:space="preserve">               </w:t>
                        </w:r>
                        <w:r w:rsidRPr="00F95E2A">
                          <w:rPr>
                            <w:rFonts w:ascii="Arial" w:hAnsi="Arial" w:cs="Arial"/>
                          </w:rPr>
                          <w:t xml:space="preserve">                                       </w:t>
                        </w:r>
                        <w:r>
                          <w:rPr>
                            <w:rFonts w:ascii="Arial" w:hAnsi="Arial" w:cs="Arial"/>
                          </w:rPr>
                          <w:t xml:space="preserve">                                     Anton Burić</w:t>
                        </w:r>
                        <w:r w:rsidRPr="00F95E2A">
                          <w:rPr>
                            <w:rFonts w:ascii="Arial" w:hAnsi="Arial" w:cs="Arial"/>
                          </w:rPr>
                          <w:t>, prof.</w:t>
                        </w:r>
                      </w:p>
                      <w:p w14:paraId="1871688F" w14:textId="77777777" w:rsidR="006A4C72" w:rsidRDefault="006A4C72" w:rsidP="006A4C72">
                        <w:pPr>
                          <w:tabs>
                            <w:tab w:val="center" w:pos="4535"/>
                          </w:tabs>
                          <w:ind w:left="1416"/>
                          <w:rPr>
                            <w:rFonts w:ascii="Arial" w:hAnsi="Arial" w:cs="Arial"/>
                          </w:rPr>
                        </w:pPr>
                      </w:p>
                      <w:p w14:paraId="51C4EA19" w14:textId="77777777" w:rsidR="006A4C72" w:rsidRDefault="006A4C72" w:rsidP="006A4C72">
                        <w:pPr>
                          <w:tabs>
                            <w:tab w:val="center" w:pos="4535"/>
                          </w:tabs>
                          <w:ind w:left="1416"/>
                          <w:rPr>
                            <w:rFonts w:ascii="Arial" w:hAnsi="Arial" w:cs="Arial"/>
                          </w:rPr>
                        </w:pPr>
                      </w:p>
                      <w:p w14:paraId="0A55AB1C" w14:textId="3A24130A" w:rsidR="006A4C72" w:rsidRPr="00F95E2A" w:rsidRDefault="003D760B" w:rsidP="006A4C72">
                        <w:pPr>
                          <w:tabs>
                            <w:tab w:val="center" w:pos="4535"/>
                          </w:tabs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Vrbovsko, </w:t>
                        </w:r>
                        <w:r w:rsidR="00576AB9">
                          <w:rPr>
                            <w:rFonts w:ascii="Arial" w:hAnsi="Arial" w:cs="Arial"/>
                          </w:rPr>
                          <w:t>27</w:t>
                        </w:r>
                        <w:r w:rsidR="007E6D2E">
                          <w:rPr>
                            <w:rFonts w:ascii="Arial" w:hAnsi="Arial" w:cs="Arial"/>
                          </w:rPr>
                          <w:t>.03.202</w:t>
                        </w:r>
                        <w:r w:rsidR="00576AB9">
                          <w:rPr>
                            <w:rFonts w:ascii="Arial" w:hAnsi="Arial" w:cs="Arial"/>
                          </w:rPr>
                          <w:t>5</w:t>
                        </w:r>
                        <w:r w:rsidR="006A4C72">
                          <w:rPr>
                            <w:rFonts w:ascii="Arial" w:hAnsi="Arial" w:cs="Arial"/>
                          </w:rPr>
                          <w:t xml:space="preserve"> godine</w:t>
                        </w:r>
                      </w:p>
                      <w:p w14:paraId="1392057A" w14:textId="77777777" w:rsidR="006A4C72" w:rsidRDefault="006A4C72" w:rsidP="006A4C72">
                        <w:pPr>
                          <w:jc w:val="right"/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 16" o:spid="_x0000_s1040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" filled="f" stroked="f">
                  <v:path arrowok="t"/>
                  <v:textbox>
                    <w:txbxContent>
                      <w:p w14:paraId="73C94E01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0CC27514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1B12255C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22FEA87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345080C" w14:textId="77777777" w:rsidR="006A4C72" w:rsidRDefault="006A4C72" w:rsidP="006A4C72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2A528762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  <w:r w:rsidRPr="00115BE4">
                          <w:rPr>
                            <w:rFonts w:ascii="Arial" w:hAnsi="Arial" w:cs="Arial"/>
                            <w:i/>
                            <w:sz w:val="40"/>
                            <w:szCs w:val="40"/>
                          </w:rPr>
                          <w:t>OBRAZLOŽENJE</w:t>
                        </w:r>
                      </w:p>
                      <w:p w14:paraId="3B2077F8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67A735DD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14CA5826" w14:textId="5EE840A5" w:rsidR="006A4C72" w:rsidRDefault="003D760B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 xml:space="preserve">GODIŠNJEG </w:t>
                        </w:r>
                        <w:r w:rsidR="00E5447E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>IZVJEŠTAJA O IZVRŠENJU</w:t>
                        </w:r>
                        <w:r w:rsidR="006A4C72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 xml:space="preserve"> FINANCIJSKOG PLANA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 xml:space="preserve"> ZA 202</w:t>
                        </w:r>
                        <w:r w:rsidR="00576AB9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>4</w:t>
                        </w:r>
                        <w:r w:rsidR="00E5447E"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>. GODINU</w:t>
                        </w:r>
                      </w:p>
                      <w:p w14:paraId="31A45CC2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098745BD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258B0D2C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  <w:t>ZA 2022. GODINU</w:t>
                        </w:r>
                      </w:p>
                      <w:p w14:paraId="62851C96" w14:textId="77777777" w:rsidR="006A4C72" w:rsidRDefault="006A4C72" w:rsidP="006A4C72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40"/>
                            <w:szCs w:val="40"/>
                          </w:rPr>
                        </w:pPr>
                      </w:p>
                      <w:p w14:paraId="27A68AE6" w14:textId="77777777" w:rsidR="006A4C72" w:rsidRDefault="006A4C72" w:rsidP="006A4C72">
                        <w:pPr>
                          <w:jc w:val="center"/>
                          <w:rPr>
                            <w:b/>
                            <w:bCs/>
                            <w:color w:val="17365D"/>
                            <w:sz w:val="40"/>
                            <w:szCs w:val="40"/>
                          </w:rPr>
                        </w:pPr>
                      </w:p>
                      <w:p w14:paraId="3B2B5C51" w14:textId="77777777" w:rsidR="006A4C72" w:rsidRDefault="006A4C72" w:rsidP="006A4C72">
                        <w:pPr>
                          <w:jc w:val="center"/>
                          <w:rPr>
                            <w:b/>
                            <w:bCs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548DD4"/>
                            <w:sz w:val="40"/>
                            <w:szCs w:val="40"/>
                          </w:rPr>
                          <w:t>Osnovna škola Ivana Gorana Kovačića Vrbovsko</w:t>
                        </w:r>
                      </w:p>
                      <w:p w14:paraId="09816333" w14:textId="77777777" w:rsidR="006A4C72" w:rsidRPr="00512EEF" w:rsidRDefault="006A4C72" w:rsidP="006A4C72">
                        <w:pPr>
                          <w:rPr>
                            <w:b/>
                            <w:bCs/>
                            <w:color w:val="80808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Pr="006A4C72">
        <w:rPr>
          <w:b/>
          <w:sz w:val="28"/>
          <w:szCs w:val="28"/>
        </w:rPr>
        <w:t xml:space="preserve"> OŠ IVANA GORANA KOVAČIĆA VRBOVSKO</w:t>
      </w:r>
    </w:p>
    <w:p w14:paraId="245657DA" w14:textId="77777777" w:rsidR="006A4C72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1F751A58" w14:textId="77777777" w:rsidR="006A4C72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A8054C5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840E940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D41145D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4B72500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11135C73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2ECE6D63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0473EFD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08484974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8369CF0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22F8D10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35436B8A" w14:textId="77777777" w:rsidR="006A4C72" w:rsidRPr="00AE0715" w:rsidRDefault="006A4C72" w:rsidP="006A4C72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68166F8" w14:textId="77777777" w:rsidR="001851B1" w:rsidRDefault="001851B1"/>
    <w:p w14:paraId="5D583021" w14:textId="77777777" w:rsidR="006A4C72" w:rsidRDefault="006A4C72"/>
    <w:p w14:paraId="1B3B3B88" w14:textId="77777777" w:rsidR="006A4C72" w:rsidRDefault="006A4C72"/>
    <w:p w14:paraId="4A678634" w14:textId="77777777" w:rsidR="006A4C72" w:rsidRDefault="006A4C72"/>
    <w:p w14:paraId="009462C5" w14:textId="77777777" w:rsidR="006A4C72" w:rsidRDefault="006A4C72"/>
    <w:p w14:paraId="579DC5EE" w14:textId="77777777" w:rsidR="006A4C72" w:rsidRDefault="006A4C72"/>
    <w:p w14:paraId="5ABF154D" w14:textId="77777777" w:rsidR="006A4C72" w:rsidRDefault="006A4C72"/>
    <w:p w14:paraId="6FA1081B" w14:textId="77777777" w:rsidR="006A4C72" w:rsidRDefault="006A4C72"/>
    <w:p w14:paraId="0FC0EB8C" w14:textId="77777777" w:rsidR="006A4C72" w:rsidRDefault="006A4C72"/>
    <w:p w14:paraId="77191786" w14:textId="77777777" w:rsidR="006A4C72" w:rsidRDefault="006A4C72"/>
    <w:p w14:paraId="18A85C54" w14:textId="77777777" w:rsidR="006A4C72" w:rsidRDefault="006A4C72"/>
    <w:p w14:paraId="0DEAC4AE" w14:textId="77777777" w:rsidR="006A4C72" w:rsidRDefault="006A4C72"/>
    <w:p w14:paraId="0288099A" w14:textId="77777777" w:rsidR="006A4C72" w:rsidRDefault="006A4C72"/>
    <w:p w14:paraId="37E509E0" w14:textId="77777777" w:rsidR="006A4C72" w:rsidRDefault="006A4C72"/>
    <w:p w14:paraId="68B8A14E" w14:textId="77777777" w:rsidR="006A4C72" w:rsidRDefault="006A4C72"/>
    <w:p w14:paraId="0E111065" w14:textId="77777777" w:rsidR="006A4C72" w:rsidRDefault="006A4C72"/>
    <w:p w14:paraId="3FAEAB1D" w14:textId="77777777" w:rsidR="006A4C72" w:rsidRDefault="006A4C72"/>
    <w:p w14:paraId="2AE748C2" w14:textId="77777777" w:rsidR="006A4C72" w:rsidRDefault="006A4C72"/>
    <w:p w14:paraId="05DF106C" w14:textId="77777777" w:rsidR="006A4C72" w:rsidRDefault="006A4C72"/>
    <w:p w14:paraId="5985BFD2" w14:textId="388E47F2" w:rsidR="007131C7" w:rsidRDefault="007131C7" w:rsidP="002679C8">
      <w:pPr>
        <w:rPr>
          <w:u w:val="single"/>
        </w:rPr>
      </w:pPr>
    </w:p>
    <w:p w14:paraId="0ABB518F" w14:textId="061BD12D" w:rsidR="00482E80" w:rsidRPr="00482E80" w:rsidRDefault="00482E80" w:rsidP="00482E8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lastRenderedPageBreak/>
        <w:t>Izvještaj o izvršenju financijskog plana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576A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OŠ Ivana Gorana Kovačića Vrbovsko</w:t>
      </w:r>
      <w:r w:rsidRPr="00482E80">
        <w:rPr>
          <w:rFonts w:ascii="Times New Roman" w:hAnsi="Times New Roman" w:cs="Times New Roman"/>
          <w:sz w:val="24"/>
          <w:szCs w:val="24"/>
        </w:rPr>
        <w:t xml:space="preserve"> sastoji se od: </w:t>
      </w:r>
    </w:p>
    <w:p w14:paraId="4F3489A1" w14:textId="77777777" w:rsidR="00482E80" w:rsidRPr="00482E80" w:rsidRDefault="00482E80" w:rsidP="00482E8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>Opći dio -Račun prihoda i rashoda</w:t>
      </w:r>
    </w:p>
    <w:p w14:paraId="2D90C58C" w14:textId="77777777" w:rsidR="00482E80" w:rsidRP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 xml:space="preserve">   -Prihodi i rashodi prema ekonomskoj klasifikaciji</w:t>
      </w:r>
    </w:p>
    <w:p w14:paraId="25F76075" w14:textId="64B7A131" w:rsid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 xml:space="preserve">   -Prihodi i rashodi prema izvorima</w:t>
      </w:r>
    </w:p>
    <w:p w14:paraId="73AFB1DC" w14:textId="5448DF45" w:rsidR="00482E80" w:rsidRDefault="00482E80" w:rsidP="00482E80">
      <w:pPr>
        <w:pStyle w:val="Bezproreda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-Rashodi po funkcijskoj klasifikaciji </w:t>
      </w:r>
    </w:p>
    <w:p w14:paraId="1E3C1EC1" w14:textId="6E23086D" w:rsidR="00482E80" w:rsidRDefault="00482E80" w:rsidP="00482E8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82E80">
        <w:rPr>
          <w:rFonts w:ascii="Times New Roman" w:hAnsi="Times New Roman" w:cs="Times New Roman"/>
          <w:sz w:val="24"/>
          <w:szCs w:val="24"/>
        </w:rPr>
        <w:t>Posebni dio – Izvršenje rashoda i izdataka prema programskoj i ekonomskoj        klasifikaciji te izvorima</w:t>
      </w:r>
    </w:p>
    <w:p w14:paraId="1C81A6A4" w14:textId="77777777" w:rsidR="00981840" w:rsidRPr="00482E80" w:rsidRDefault="00981840" w:rsidP="00C71C1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3ABFDC" w14:textId="1CF9C000" w:rsidR="00482E80" w:rsidRPr="007F384E" w:rsidRDefault="00482E80" w:rsidP="007F384E">
      <w:pPr>
        <w:rPr>
          <w:b/>
          <w:bCs/>
          <w:u w:val="single"/>
        </w:rPr>
      </w:pPr>
      <w:r w:rsidRPr="007F384E">
        <w:rPr>
          <w:b/>
          <w:bCs/>
          <w:u w:val="single"/>
        </w:rPr>
        <w:t>OPĆI DIO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960"/>
        <w:gridCol w:w="960"/>
        <w:gridCol w:w="1217"/>
        <w:gridCol w:w="960"/>
        <w:gridCol w:w="229"/>
        <w:gridCol w:w="7"/>
        <w:gridCol w:w="1758"/>
        <w:gridCol w:w="1559"/>
        <w:gridCol w:w="1701"/>
      </w:tblGrid>
      <w:tr w:rsidR="00956339" w:rsidRPr="00956339" w14:paraId="06156EBE" w14:textId="77777777" w:rsidTr="003D760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0BF694F" w14:textId="77777777" w:rsidR="00482E80" w:rsidRDefault="00482E80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  <w:p w14:paraId="7B1CCB27" w14:textId="42FA8B51" w:rsidR="00482E80" w:rsidRPr="00956339" w:rsidRDefault="00482E80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AA9EA4" w14:textId="77777777" w:rsidR="00956339" w:rsidRPr="00956339" w:rsidRDefault="00956339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94BCA4" w14:textId="77777777" w:rsidR="00956339" w:rsidRPr="00956339" w:rsidRDefault="00956339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15A8DC" w14:textId="77777777" w:rsidR="00956339" w:rsidRPr="00956339" w:rsidRDefault="00956339" w:rsidP="00956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BCC20" w14:textId="77777777" w:rsidR="00956339" w:rsidRPr="00956339" w:rsidRDefault="00956339" w:rsidP="009563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2B70D" w14:textId="17FF0600" w:rsidR="00956339" w:rsidRPr="00956339" w:rsidRDefault="003D760B" w:rsidP="00956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202</w:t>
            </w:r>
            <w:r w:rsidR="009F6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  <w:r w:rsidR="00956339" w:rsidRPr="009563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35E1" w14:textId="6DB50BED" w:rsidR="00956339" w:rsidRPr="00956339" w:rsidRDefault="00E5447E" w:rsidP="00956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P</w:t>
            </w:r>
            <w:r w:rsidR="003D76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lan 202</w:t>
            </w:r>
            <w:r w:rsidR="009F6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  <w:r w:rsidR="00956339" w:rsidRPr="009563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CF81" w14:textId="67312693" w:rsidR="00956339" w:rsidRPr="00956339" w:rsidRDefault="00956339" w:rsidP="009563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</w:t>
            </w:r>
            <w:r w:rsidR="003D76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202</w:t>
            </w:r>
            <w:r w:rsidR="009F65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4.</w:t>
            </w:r>
          </w:p>
        </w:tc>
      </w:tr>
      <w:tr w:rsidR="009F6598" w:rsidRPr="00956339" w14:paraId="73077C41" w14:textId="77777777" w:rsidTr="003D760B">
        <w:trPr>
          <w:trHeight w:val="387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7F46318E" w14:textId="77777777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UKUPNO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E8202D" w14:textId="1673FE33" w:rsidR="009F6598" w:rsidRPr="003D760B" w:rsidRDefault="009F6598" w:rsidP="009F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1.557.342,35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274778" w14:textId="0AFF0A73" w:rsidR="009F6598" w:rsidRPr="003D760B" w:rsidRDefault="009F6598" w:rsidP="009F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2.262.229,82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EDC0BB" w14:textId="633F17A3" w:rsidR="009F6598" w:rsidRPr="003D760B" w:rsidRDefault="009F6598" w:rsidP="009F65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2.073.608,55</w:t>
            </w:r>
          </w:p>
        </w:tc>
      </w:tr>
      <w:tr w:rsidR="009F6598" w:rsidRPr="00956339" w14:paraId="47B5A1D8" w14:textId="77777777" w:rsidTr="003D760B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6BDE8" w14:textId="77777777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POSLOVANJA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1D29" w14:textId="3EF65D0F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1.556.629,07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8A5B" w14:textId="3D8CCC5D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1.968.727,82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AFF2" w14:textId="39318C6E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1.778.739,42</w:t>
            </w:r>
          </w:p>
        </w:tc>
      </w:tr>
      <w:tr w:rsidR="009F6598" w:rsidRPr="00956339" w14:paraId="0B0E514D" w14:textId="77777777" w:rsidTr="001603F9">
        <w:trPr>
          <w:trHeight w:val="427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EA786" w14:textId="77777777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PRIHODI OD PRODAJE NEFINANCIJSKE IMOVINE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812B" w14:textId="6011DD32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713,28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1F05" w14:textId="6561D6ED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293.502,00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D8D6" w14:textId="6795C8CC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294.869,13</w:t>
            </w:r>
          </w:p>
        </w:tc>
      </w:tr>
      <w:tr w:rsidR="003D760B" w:rsidRPr="00956339" w14:paraId="775F1675" w14:textId="77777777" w:rsidTr="003D760B">
        <w:trPr>
          <w:trHeight w:val="300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3F51BC5B" w14:textId="77777777" w:rsidR="003D760B" w:rsidRPr="00956339" w:rsidRDefault="003D760B" w:rsidP="007E6D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UKUPNO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DB3D08A" w14:textId="77777777" w:rsidR="003D760B" w:rsidRDefault="003D760B" w:rsidP="007E6D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542409" w14:textId="77777777" w:rsidR="003D760B" w:rsidRDefault="003D760B" w:rsidP="007E6D2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4F7484E" w14:textId="77777777" w:rsidR="003D760B" w:rsidRDefault="003D760B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9DCCC7" w14:textId="6A521249" w:rsidR="003D760B" w:rsidRPr="003D760B" w:rsidRDefault="009F6598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1.561.193,50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9C5AC1D" w14:textId="5A71A800" w:rsidR="003D760B" w:rsidRPr="003D760B" w:rsidRDefault="009F6598" w:rsidP="00114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2.270.911,03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688264" w14:textId="4A9B3AB1" w:rsidR="003D760B" w:rsidRPr="003D760B" w:rsidRDefault="009F6598" w:rsidP="001140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1.922.897,17</w:t>
            </w:r>
          </w:p>
        </w:tc>
      </w:tr>
      <w:tr w:rsidR="009F6598" w:rsidRPr="00956339" w14:paraId="609E155C" w14:textId="77777777" w:rsidTr="003D760B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D886F" w14:textId="77777777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 POSLOVANJA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C9A" w14:textId="0BB7801B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1.554.666,85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3536" w14:textId="2D25758D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2.173.745,75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D96" w14:textId="5C0701E5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1.858.071,65</w:t>
            </w:r>
          </w:p>
        </w:tc>
      </w:tr>
      <w:tr w:rsidR="009F6598" w:rsidRPr="00956339" w14:paraId="6BB0AC9B" w14:textId="77777777" w:rsidTr="003D760B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64829" w14:textId="77777777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95633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RASHODI ZA NABAVU NEFINANCIJSKE IMOVINE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14C1" w14:textId="19BA5158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6.526,65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EB03" w14:textId="75793F1C" w:rsidR="009F6598" w:rsidRPr="003D760B" w:rsidRDefault="009F6598" w:rsidP="009F6598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97.165,28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CBA" w14:textId="53A5F753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64.825,52</w:t>
            </w:r>
          </w:p>
        </w:tc>
      </w:tr>
      <w:tr w:rsidR="009F6598" w:rsidRPr="003D760B" w14:paraId="0B0E0AC8" w14:textId="77777777" w:rsidTr="001603F9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4CBBE7A7" w14:textId="1AB72251" w:rsidR="009F6598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PRIMICI OD FINAN. IMOVINE I ZADUŽIVANJA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FB2C1C4" w14:textId="0BFEB66B" w:rsidR="009F6598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7C05CB5" w14:textId="47A2DFCD" w:rsidR="009F6598" w:rsidRDefault="009F6598" w:rsidP="009F6598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9B18A28" w14:textId="2FBC3E7F" w:rsidR="009F6598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F6598" w:rsidRPr="003D760B" w14:paraId="310CDE1A" w14:textId="77777777" w:rsidTr="001603F9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33DDE88B" w14:textId="7336C1D8" w:rsidR="009F6598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IZDACI ZA FINAN, IMOVINU I OTPLATE ZAJMOVA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632EF177" w14:textId="08884A50" w:rsidR="009F6598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1AF23B53" w14:textId="4257C1EB" w:rsidR="009F6598" w:rsidRDefault="009F6598" w:rsidP="009F6598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59DA9181" w14:textId="593695C9" w:rsidR="009F6598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F6598" w:rsidRPr="003D760B" w14:paraId="494074AB" w14:textId="77777777" w:rsidTr="001603F9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center"/>
          </w:tcPr>
          <w:p w14:paraId="2BA758AA" w14:textId="2047B345" w:rsidR="009F6598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NETO FINANCIRANJE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4E01484D" w14:textId="17E15113" w:rsidR="009F6598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223F83F2" w14:textId="3F41AB14" w:rsidR="009F6598" w:rsidRDefault="009F6598" w:rsidP="009F6598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</w:tcPr>
          <w:p w14:paraId="79B5A9CF" w14:textId="54E0FC91" w:rsidR="009F6598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F6598" w:rsidRPr="003D760B" w14:paraId="47CB5684" w14:textId="77777777" w:rsidTr="00181541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B51F" w14:textId="77777777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RAZLIKA - VIŠAK/MANJAK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3C5" w14:textId="0F15FA59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-3.851,15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9A3" w14:textId="182F13CF" w:rsidR="009F6598" w:rsidRPr="003D760B" w:rsidRDefault="009F6598" w:rsidP="009F6598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-8.681,21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D71E" w14:textId="7B67B6DB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  <w:r w:rsidR="00B65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.711,38</w:t>
            </w:r>
          </w:p>
        </w:tc>
      </w:tr>
      <w:tr w:rsidR="009F6598" w:rsidRPr="003D760B" w14:paraId="1966B936" w14:textId="77777777" w:rsidTr="00181541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2DDC4" w14:textId="77777777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 IZ PRETHODNE GODINE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A3E8" w14:textId="2061C1FF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12.532,3</w:t>
            </w:r>
            <w:r w:rsidR="008F4DF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F736" w14:textId="6F8D3B76" w:rsidR="009F6598" w:rsidRPr="003D760B" w:rsidRDefault="009F6598" w:rsidP="009F6598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8.681,21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D3E" w14:textId="17231951" w:rsidR="009F6598" w:rsidRPr="003D760B" w:rsidRDefault="00AC5877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8.681,21</w:t>
            </w:r>
          </w:p>
        </w:tc>
      </w:tr>
      <w:tr w:rsidR="009F6598" w:rsidRPr="003D760B" w14:paraId="7F1A1244" w14:textId="77777777" w:rsidTr="00181541">
        <w:trPr>
          <w:trHeight w:val="300"/>
        </w:trPr>
        <w:tc>
          <w:tcPr>
            <w:tcW w:w="4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BFD40" w14:textId="3E0637DE" w:rsidR="009F6598" w:rsidRPr="00956339" w:rsidRDefault="009F6598" w:rsidP="009F65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VIŠAK/MANJAK /NETO FINANCIRANJE</w:t>
            </w:r>
          </w:p>
        </w:tc>
        <w:tc>
          <w:tcPr>
            <w:tcW w:w="17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2F4E" w14:textId="51A77D0A" w:rsidR="009F6598" w:rsidRPr="003D760B" w:rsidRDefault="009F6598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8.681,21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9FDF" w14:textId="77777777" w:rsidR="009F6598" w:rsidRPr="003D760B" w:rsidRDefault="009F6598" w:rsidP="009F6598">
            <w:pPr>
              <w:ind w:firstLineChars="100" w:firstLine="16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45D" w14:textId="17E71526" w:rsidR="009F6598" w:rsidRPr="003D760B" w:rsidRDefault="00AC5877" w:rsidP="009F659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159.392,59</w:t>
            </w:r>
          </w:p>
        </w:tc>
      </w:tr>
    </w:tbl>
    <w:p w14:paraId="263BBCC8" w14:textId="77777777" w:rsidR="00603720" w:rsidRDefault="00603720"/>
    <w:p w14:paraId="5CC604B8" w14:textId="77777777" w:rsidR="007B73F8" w:rsidRPr="00981840" w:rsidRDefault="007B73F8" w:rsidP="007B73F8">
      <w:p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>1. RAČUN PRIHODA I RASHODA</w:t>
      </w:r>
    </w:p>
    <w:p w14:paraId="49343AFD" w14:textId="229ED3CD" w:rsidR="00D17128" w:rsidRDefault="000863CB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7B73F8">
        <w:rPr>
          <w:rFonts w:ascii="Times New Roman" w:hAnsi="Times New Roman"/>
          <w:szCs w:val="24"/>
        </w:rPr>
        <w:t xml:space="preserve">kupni prihodi </w:t>
      </w:r>
      <w:r w:rsidR="00B50C83">
        <w:rPr>
          <w:rFonts w:ascii="Times New Roman" w:hAnsi="Times New Roman"/>
          <w:szCs w:val="24"/>
        </w:rPr>
        <w:t>u godišnjem razdoblju 202</w:t>
      </w:r>
      <w:r>
        <w:rPr>
          <w:rFonts w:ascii="Times New Roman" w:hAnsi="Times New Roman"/>
          <w:szCs w:val="24"/>
        </w:rPr>
        <w:t>4</w:t>
      </w:r>
      <w:r w:rsidR="00B50C83">
        <w:rPr>
          <w:rFonts w:ascii="Times New Roman" w:hAnsi="Times New Roman"/>
          <w:szCs w:val="24"/>
        </w:rPr>
        <w:t xml:space="preserve">. godine, </w:t>
      </w:r>
      <w:r w:rsidR="007B73F8">
        <w:rPr>
          <w:rFonts w:ascii="Times New Roman" w:hAnsi="Times New Roman"/>
          <w:szCs w:val="24"/>
        </w:rPr>
        <w:t xml:space="preserve">ostvareni su u iznosu od </w:t>
      </w:r>
      <w:r w:rsidR="009F2E4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2.073.608,55</w:t>
      </w:r>
      <w:r w:rsidR="00C01DBD">
        <w:rPr>
          <w:rFonts w:ascii="Times New Roman" w:hAnsi="Times New Roman"/>
          <w:szCs w:val="24"/>
        </w:rPr>
        <w:t xml:space="preserve"> </w:t>
      </w:r>
      <w:r w:rsidR="009F2E46">
        <w:rPr>
          <w:rFonts w:ascii="Times New Roman" w:hAnsi="Times New Roman"/>
          <w:szCs w:val="24"/>
        </w:rPr>
        <w:t xml:space="preserve">eura odnosno na </w:t>
      </w:r>
      <w:r w:rsidR="00B408A9">
        <w:rPr>
          <w:rFonts w:ascii="Times New Roman" w:hAnsi="Times New Roman"/>
          <w:szCs w:val="24"/>
        </w:rPr>
        <w:t xml:space="preserve">manji za </w:t>
      </w:r>
      <w:r w:rsidR="00221134">
        <w:rPr>
          <w:rFonts w:ascii="Times New Roman" w:hAnsi="Times New Roman"/>
          <w:szCs w:val="24"/>
        </w:rPr>
        <w:t>8,34</w:t>
      </w:r>
      <w:r w:rsidR="00B50C83">
        <w:rPr>
          <w:rFonts w:ascii="Times New Roman" w:hAnsi="Times New Roman"/>
          <w:szCs w:val="24"/>
        </w:rPr>
        <w:t xml:space="preserve"> </w:t>
      </w:r>
      <w:r w:rsidR="002679C8">
        <w:rPr>
          <w:rFonts w:ascii="Times New Roman" w:hAnsi="Times New Roman"/>
          <w:szCs w:val="24"/>
        </w:rPr>
        <w:t xml:space="preserve">% </w:t>
      </w:r>
      <w:r w:rsidR="00B408A9">
        <w:rPr>
          <w:rFonts w:ascii="Times New Roman" w:hAnsi="Times New Roman"/>
          <w:szCs w:val="24"/>
        </w:rPr>
        <w:t xml:space="preserve">u odnosu na </w:t>
      </w:r>
      <w:r w:rsidR="007B73F8">
        <w:rPr>
          <w:rFonts w:ascii="Times New Roman" w:hAnsi="Times New Roman"/>
          <w:szCs w:val="24"/>
        </w:rPr>
        <w:t xml:space="preserve"> plan</w:t>
      </w:r>
      <w:r w:rsidR="00B50C83">
        <w:rPr>
          <w:rFonts w:ascii="Times New Roman" w:hAnsi="Times New Roman"/>
          <w:szCs w:val="24"/>
        </w:rPr>
        <w:t xml:space="preserve"> za 202</w:t>
      </w:r>
      <w:r>
        <w:rPr>
          <w:rFonts w:ascii="Times New Roman" w:hAnsi="Times New Roman"/>
          <w:szCs w:val="24"/>
        </w:rPr>
        <w:t>4</w:t>
      </w:r>
      <w:r w:rsidR="00B408A9">
        <w:rPr>
          <w:rFonts w:ascii="Times New Roman" w:hAnsi="Times New Roman"/>
          <w:szCs w:val="24"/>
        </w:rPr>
        <w:t>.</w:t>
      </w:r>
      <w:r w:rsidR="007B73F8">
        <w:rPr>
          <w:rFonts w:ascii="Times New Roman" w:hAnsi="Times New Roman"/>
          <w:szCs w:val="24"/>
        </w:rPr>
        <w:t xml:space="preserve"> U odnosu na godinu ranij</w:t>
      </w:r>
      <w:r w:rsidR="002679C8">
        <w:rPr>
          <w:rFonts w:ascii="Times New Roman" w:hAnsi="Times New Roman"/>
          <w:szCs w:val="24"/>
        </w:rPr>
        <w:t xml:space="preserve">e zabilježili su rast od </w:t>
      </w:r>
      <w:r w:rsidR="00221134">
        <w:rPr>
          <w:rFonts w:ascii="Times New Roman" w:hAnsi="Times New Roman"/>
          <w:szCs w:val="24"/>
        </w:rPr>
        <w:t>33,15</w:t>
      </w:r>
      <w:r w:rsidR="002679C8">
        <w:rPr>
          <w:rFonts w:ascii="Times New Roman" w:hAnsi="Times New Roman"/>
          <w:szCs w:val="24"/>
        </w:rPr>
        <w:t xml:space="preserve"> %. Ukupne prihode </w:t>
      </w:r>
      <w:r w:rsidR="007B73F8">
        <w:rPr>
          <w:rFonts w:ascii="Times New Roman" w:hAnsi="Times New Roman"/>
          <w:szCs w:val="24"/>
        </w:rPr>
        <w:t xml:space="preserve">čine prihodi poslovanja i prihodi od </w:t>
      </w:r>
      <w:r w:rsidR="0095409E">
        <w:rPr>
          <w:rFonts w:ascii="Times New Roman" w:hAnsi="Times New Roman"/>
          <w:szCs w:val="24"/>
        </w:rPr>
        <w:t>nefinancijske imovin</w:t>
      </w:r>
      <w:r w:rsidR="00D17128">
        <w:rPr>
          <w:rFonts w:ascii="Times New Roman" w:hAnsi="Times New Roman"/>
          <w:szCs w:val="24"/>
        </w:rPr>
        <w:t>e.</w:t>
      </w:r>
    </w:p>
    <w:p w14:paraId="6C5BA737" w14:textId="4D73158A" w:rsidR="00C71C14" w:rsidRDefault="00C91464" w:rsidP="007B73F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1302CA">
        <w:rPr>
          <w:rFonts w:ascii="Times New Roman" w:hAnsi="Times New Roman"/>
          <w:szCs w:val="24"/>
        </w:rPr>
        <w:t>zvrše</w:t>
      </w:r>
      <w:r w:rsidR="00603720">
        <w:rPr>
          <w:rFonts w:ascii="Times New Roman" w:hAnsi="Times New Roman"/>
          <w:szCs w:val="24"/>
        </w:rPr>
        <w:t xml:space="preserve">ni </w:t>
      </w:r>
      <w:r w:rsidR="00832E18">
        <w:rPr>
          <w:rFonts w:ascii="Times New Roman" w:hAnsi="Times New Roman"/>
          <w:szCs w:val="24"/>
        </w:rPr>
        <w:t xml:space="preserve">ukupni </w:t>
      </w:r>
      <w:r w:rsidR="00603720">
        <w:rPr>
          <w:rFonts w:ascii="Times New Roman" w:hAnsi="Times New Roman"/>
          <w:szCs w:val="24"/>
        </w:rPr>
        <w:t xml:space="preserve">rashodi </w:t>
      </w:r>
      <w:r w:rsidR="00DA1CDC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 xml:space="preserve"> 202</w:t>
      </w:r>
      <w:r w:rsidR="00832E18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 g.</w:t>
      </w:r>
      <w:r w:rsidR="00603720">
        <w:rPr>
          <w:rFonts w:ascii="Times New Roman" w:hAnsi="Times New Roman"/>
          <w:szCs w:val="24"/>
        </w:rPr>
        <w:t xml:space="preserve"> iznose </w:t>
      </w:r>
      <w:r w:rsidR="00DA1CDC">
        <w:rPr>
          <w:rFonts w:ascii="Times New Roman" w:hAnsi="Times New Roman"/>
          <w:szCs w:val="24"/>
        </w:rPr>
        <w:t>1.</w:t>
      </w:r>
      <w:r w:rsidR="00832E18">
        <w:rPr>
          <w:rFonts w:ascii="Times New Roman" w:hAnsi="Times New Roman"/>
          <w:szCs w:val="24"/>
        </w:rPr>
        <w:t>922.897,17</w:t>
      </w:r>
      <w:r>
        <w:rPr>
          <w:rFonts w:ascii="Times New Roman" w:hAnsi="Times New Roman"/>
          <w:szCs w:val="24"/>
        </w:rPr>
        <w:t xml:space="preserve"> eura</w:t>
      </w:r>
      <w:r w:rsidR="001302CA">
        <w:rPr>
          <w:rFonts w:ascii="Times New Roman" w:hAnsi="Times New Roman"/>
          <w:szCs w:val="24"/>
        </w:rPr>
        <w:t xml:space="preserve">, što </w:t>
      </w:r>
      <w:r w:rsidR="00603720">
        <w:rPr>
          <w:rFonts w:ascii="Times New Roman" w:hAnsi="Times New Roman"/>
          <w:szCs w:val="24"/>
        </w:rPr>
        <w:t xml:space="preserve">je </w:t>
      </w:r>
      <w:r w:rsidR="00221134">
        <w:rPr>
          <w:rFonts w:ascii="Times New Roman" w:hAnsi="Times New Roman"/>
          <w:szCs w:val="24"/>
        </w:rPr>
        <w:t>23,17</w:t>
      </w:r>
      <w:r>
        <w:rPr>
          <w:rFonts w:ascii="Times New Roman" w:hAnsi="Times New Roman"/>
          <w:szCs w:val="24"/>
        </w:rPr>
        <w:t xml:space="preserve"> </w:t>
      </w:r>
      <w:r w:rsidR="001302CA">
        <w:rPr>
          <w:rFonts w:ascii="Times New Roman" w:hAnsi="Times New Roman"/>
          <w:szCs w:val="24"/>
        </w:rPr>
        <w:t>% više od istog razdoblja</w:t>
      </w:r>
      <w:r w:rsidR="00832E18">
        <w:rPr>
          <w:rFonts w:ascii="Times New Roman" w:hAnsi="Times New Roman"/>
          <w:szCs w:val="24"/>
        </w:rPr>
        <w:t xml:space="preserve"> </w:t>
      </w:r>
      <w:r w:rsidR="001302CA">
        <w:rPr>
          <w:rFonts w:ascii="Times New Roman" w:hAnsi="Times New Roman"/>
          <w:szCs w:val="24"/>
        </w:rPr>
        <w:t>prethodne godine</w:t>
      </w:r>
      <w:r>
        <w:rPr>
          <w:rFonts w:ascii="Times New Roman" w:hAnsi="Times New Roman"/>
          <w:szCs w:val="24"/>
        </w:rPr>
        <w:t xml:space="preserve"> i izvršeni su na razini </w:t>
      </w:r>
      <w:r w:rsidR="00832E18">
        <w:rPr>
          <w:rFonts w:ascii="Times New Roman" w:hAnsi="Times New Roman"/>
          <w:szCs w:val="24"/>
        </w:rPr>
        <w:t>manje za</w:t>
      </w:r>
      <w:r w:rsidR="00221134">
        <w:rPr>
          <w:rFonts w:ascii="Times New Roman" w:hAnsi="Times New Roman"/>
          <w:szCs w:val="24"/>
        </w:rPr>
        <w:t xml:space="preserve"> 15,32</w:t>
      </w:r>
      <w:r w:rsidR="00832E18">
        <w:rPr>
          <w:rFonts w:ascii="Times New Roman" w:hAnsi="Times New Roman"/>
          <w:szCs w:val="24"/>
        </w:rPr>
        <w:t xml:space="preserve"> % </w:t>
      </w:r>
      <w:r w:rsidR="00F240B6">
        <w:rPr>
          <w:rFonts w:ascii="Times New Roman" w:hAnsi="Times New Roman"/>
          <w:szCs w:val="24"/>
        </w:rPr>
        <w:t xml:space="preserve">od plana za </w:t>
      </w:r>
      <w:r>
        <w:rPr>
          <w:rFonts w:ascii="Times New Roman" w:hAnsi="Times New Roman"/>
          <w:szCs w:val="24"/>
        </w:rPr>
        <w:t xml:space="preserve"> 202</w:t>
      </w:r>
      <w:r w:rsidR="00832E18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>.g</w:t>
      </w:r>
      <w:r w:rsidR="00F240B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1302CA">
        <w:rPr>
          <w:rFonts w:ascii="Times New Roman" w:hAnsi="Times New Roman"/>
          <w:szCs w:val="24"/>
        </w:rPr>
        <w:t xml:space="preserve">. </w:t>
      </w:r>
      <w:r w:rsidR="00603720">
        <w:rPr>
          <w:rFonts w:ascii="Times New Roman" w:hAnsi="Times New Roman"/>
          <w:szCs w:val="24"/>
        </w:rPr>
        <w:t>Ukupne rashode čine rashodi poslovanja i rashodi od nefinancijske imovine.</w:t>
      </w:r>
    </w:p>
    <w:p w14:paraId="621B8051" w14:textId="77777777" w:rsidR="00832E18" w:rsidRPr="00832E18" w:rsidRDefault="00832E18" w:rsidP="00832E18">
      <w:pPr>
        <w:spacing w:after="0"/>
        <w:rPr>
          <w:rFonts w:ascii="Times New Roman" w:hAnsi="Times New Roman"/>
          <w:b/>
          <w:bCs/>
          <w:szCs w:val="24"/>
          <w:u w:val="single"/>
        </w:rPr>
      </w:pPr>
      <w:r w:rsidRPr="00832E18">
        <w:rPr>
          <w:rFonts w:ascii="Times New Roman" w:hAnsi="Times New Roman"/>
          <w:b/>
          <w:bCs/>
          <w:szCs w:val="24"/>
          <w:u w:val="single"/>
        </w:rPr>
        <w:t>Napomena:</w:t>
      </w:r>
    </w:p>
    <w:p w14:paraId="54168B0D" w14:textId="07C48A65" w:rsidR="00832E18" w:rsidRDefault="00832E18" w:rsidP="00832E18">
      <w:pPr>
        <w:spacing w:after="0"/>
        <w:rPr>
          <w:rFonts w:ascii="Times New Roman" w:hAnsi="Times New Roman"/>
          <w:szCs w:val="24"/>
        </w:rPr>
      </w:pPr>
      <w:r w:rsidRPr="00832E18">
        <w:rPr>
          <w:rFonts w:ascii="Times New Roman" w:hAnsi="Times New Roman"/>
          <w:b/>
          <w:bCs/>
          <w:szCs w:val="24"/>
        </w:rPr>
        <w:t>U izvještaju o izvršenju OŠ Ivana Gorana Kovačića Vrbovsko</w:t>
      </w:r>
      <w:r>
        <w:rPr>
          <w:rFonts w:ascii="Times New Roman" w:hAnsi="Times New Roman"/>
          <w:b/>
          <w:bCs/>
          <w:szCs w:val="24"/>
        </w:rPr>
        <w:t xml:space="preserve"> za 2024. godinu</w:t>
      </w:r>
      <w:r w:rsidRPr="00832E18">
        <w:rPr>
          <w:rFonts w:ascii="Times New Roman" w:hAnsi="Times New Roman"/>
          <w:b/>
          <w:bCs/>
          <w:szCs w:val="24"/>
        </w:rPr>
        <w:t xml:space="preserve"> nisu prikazani</w:t>
      </w:r>
      <w:r>
        <w:rPr>
          <w:rFonts w:ascii="Times New Roman" w:hAnsi="Times New Roman"/>
          <w:b/>
          <w:bCs/>
          <w:szCs w:val="24"/>
        </w:rPr>
        <w:t xml:space="preserve"> ostvareni</w:t>
      </w:r>
      <w:r w:rsidRPr="00832E18">
        <w:rPr>
          <w:rFonts w:ascii="Times New Roman" w:hAnsi="Times New Roman"/>
          <w:b/>
          <w:bCs/>
          <w:szCs w:val="24"/>
        </w:rPr>
        <w:t xml:space="preserve"> prihodi i rashodi za usluge prijevoza učenika, te premije osiguranja imovine (zgrade) koje direktno ugovara i plaća PGŽ, </w:t>
      </w:r>
      <w:r>
        <w:rPr>
          <w:rFonts w:ascii="Times New Roman" w:hAnsi="Times New Roman"/>
          <w:b/>
          <w:bCs/>
          <w:szCs w:val="24"/>
        </w:rPr>
        <w:t>no iste je prihode i rashode</w:t>
      </w:r>
      <w:r w:rsidRPr="00832E18">
        <w:rPr>
          <w:rFonts w:ascii="Times New Roman" w:hAnsi="Times New Roman"/>
          <w:b/>
          <w:bCs/>
          <w:szCs w:val="24"/>
        </w:rPr>
        <w:t xml:space="preserve"> Škola je planirala</w:t>
      </w:r>
      <w:r>
        <w:rPr>
          <w:rFonts w:ascii="Times New Roman" w:hAnsi="Times New Roman"/>
          <w:b/>
          <w:bCs/>
          <w:szCs w:val="24"/>
        </w:rPr>
        <w:t xml:space="preserve"> zbog takve tehnike knjiženja.</w:t>
      </w:r>
    </w:p>
    <w:p w14:paraId="13106893" w14:textId="77888AF8" w:rsidR="00832E18" w:rsidRDefault="00832E18" w:rsidP="007B73F8">
      <w:pPr>
        <w:rPr>
          <w:rFonts w:ascii="Times New Roman" w:hAnsi="Times New Roman"/>
          <w:szCs w:val="24"/>
        </w:rPr>
      </w:pPr>
    </w:p>
    <w:p w14:paraId="4C483571" w14:textId="7FE15393" w:rsidR="00832E18" w:rsidRDefault="00832E18" w:rsidP="007B73F8">
      <w:pPr>
        <w:rPr>
          <w:rFonts w:ascii="Times New Roman" w:hAnsi="Times New Roman"/>
          <w:szCs w:val="24"/>
        </w:rPr>
      </w:pPr>
    </w:p>
    <w:p w14:paraId="02503727" w14:textId="77777777" w:rsidR="00832E18" w:rsidRDefault="00832E18" w:rsidP="007B73F8">
      <w:pPr>
        <w:rPr>
          <w:rFonts w:ascii="Times New Roman" w:hAnsi="Times New Roman"/>
          <w:szCs w:val="24"/>
        </w:rPr>
      </w:pPr>
    </w:p>
    <w:p w14:paraId="16004655" w14:textId="632F46DA" w:rsidR="007B73F8" w:rsidRPr="00981840" w:rsidRDefault="007B73F8" w:rsidP="00482E80">
      <w:pPr>
        <w:pStyle w:val="Odlomakpopisa"/>
        <w:numPr>
          <w:ilvl w:val="1"/>
          <w:numId w:val="2"/>
        </w:numPr>
        <w:rPr>
          <w:rFonts w:ascii="Times New Roman" w:eastAsia="Times New Roman" w:hAnsi="Times New Roman"/>
          <w:szCs w:val="24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 xml:space="preserve">PRIHODI </w:t>
      </w:r>
      <w:r w:rsidR="00DA1CDC" w:rsidRPr="00981840">
        <w:rPr>
          <w:rFonts w:ascii="Times New Roman" w:eastAsia="Times New Roman" w:hAnsi="Times New Roman"/>
          <w:szCs w:val="24"/>
          <w:lang w:eastAsia="hr-HR"/>
        </w:rPr>
        <w:t>I PRIMICI</w:t>
      </w:r>
    </w:p>
    <w:p w14:paraId="19FEF072" w14:textId="77777777" w:rsidR="00F240B6" w:rsidRDefault="00F240B6" w:rsidP="00F240B6">
      <w:pPr>
        <w:pStyle w:val="StandardWeb"/>
        <w:spacing w:before="0" w:beforeAutospacing="0" w:after="0" w:afterAutospacing="0"/>
        <w:ind w:left="405"/>
        <w:jc w:val="both"/>
        <w:rPr>
          <w:color w:val="000000"/>
        </w:rPr>
      </w:pPr>
      <w:r w:rsidRPr="00F240B6">
        <w:rPr>
          <w:color w:val="000000"/>
        </w:rPr>
        <w:t>Prihodi su ostvareni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 xml:space="preserve"> kao slijedi:</w:t>
      </w:r>
    </w:p>
    <w:p w14:paraId="1BA9C5EF" w14:textId="71EFDD05" w:rsidR="00482E80" w:rsidRDefault="00482E80" w:rsidP="00F240B6">
      <w:pPr>
        <w:pStyle w:val="StandardWeb"/>
        <w:spacing w:before="0" w:beforeAutospacing="0" w:after="0" w:afterAutospacing="0"/>
        <w:ind w:left="405"/>
        <w:jc w:val="both"/>
      </w:pPr>
      <w:r>
        <w:rPr>
          <w:color w:val="000000"/>
        </w:rPr>
        <w:t>- u okviru skupine 67 Prihodi iz proračuna, izvora financiranja 11 Opći prihodi i primici, te izvora 44 prihodi za decentralizirane funkcije </w:t>
      </w:r>
    </w:p>
    <w:p w14:paraId="5B1B1633" w14:textId="77777777" w:rsidR="00482E80" w:rsidRDefault="00482E80" w:rsidP="00F240B6">
      <w:pPr>
        <w:pStyle w:val="StandardWeb"/>
        <w:spacing w:before="0" w:beforeAutospacing="0" w:after="0" w:afterAutospacing="0"/>
        <w:ind w:left="405"/>
        <w:jc w:val="both"/>
      </w:pPr>
      <w:r>
        <w:rPr>
          <w:color w:val="000000"/>
        </w:rPr>
        <w:t>- u okviru skupine prihoda 63 Pomoći iz inozemstva i od subjekata unutar opće države, izvora financiranja 51 Pomoći,</w:t>
      </w:r>
    </w:p>
    <w:p w14:paraId="7E12B039" w14:textId="0FF54D34" w:rsidR="00482E80" w:rsidRDefault="00482E80" w:rsidP="00F240B6">
      <w:pPr>
        <w:pStyle w:val="StandardWeb"/>
        <w:spacing w:before="0" w:beforeAutospacing="0" w:after="0" w:afterAutospacing="0"/>
        <w:ind w:left="405"/>
        <w:jc w:val="both"/>
        <w:rPr>
          <w:color w:val="000000"/>
        </w:rPr>
      </w:pPr>
      <w:r>
        <w:rPr>
          <w:color w:val="000000"/>
        </w:rPr>
        <w:t>- u okviru skupine 64 prihodi od imovine, izvora financiranja 3 Vlastiti prihodi skupine 65 Sufinanciranje cijene usluge, participacije i slično, izvora 4 – Prihodi za posebne namjene te skupine 66 Donacija, izvora financiranja 6 - Donacije.</w:t>
      </w:r>
    </w:p>
    <w:p w14:paraId="509F7F15" w14:textId="77777777" w:rsidR="00F240B6" w:rsidRPr="00F240B6" w:rsidRDefault="00F240B6" w:rsidP="00F240B6">
      <w:pPr>
        <w:pStyle w:val="StandardWeb"/>
        <w:spacing w:before="0" w:beforeAutospacing="0" w:after="0" w:afterAutospacing="0"/>
        <w:ind w:left="405"/>
        <w:jc w:val="both"/>
      </w:pPr>
    </w:p>
    <w:p w14:paraId="0FE90774" w14:textId="77777777" w:rsidR="00221134" w:rsidRPr="00221134" w:rsidRDefault="00221134" w:rsidP="007B73F8">
      <w:pPr>
        <w:rPr>
          <w:rFonts w:ascii="Times New Roman" w:hAnsi="Times New Roman"/>
          <w:szCs w:val="24"/>
          <w:u w:val="single"/>
        </w:rPr>
      </w:pPr>
      <w:r w:rsidRPr="00221134">
        <w:rPr>
          <w:rFonts w:ascii="Times New Roman" w:hAnsi="Times New Roman"/>
          <w:szCs w:val="24"/>
          <w:u w:val="single"/>
        </w:rPr>
        <w:t>Prihodi poslovanja:</w:t>
      </w:r>
    </w:p>
    <w:p w14:paraId="2396E673" w14:textId="2A40BF9F" w:rsidR="004C6A99" w:rsidRDefault="007B73F8" w:rsidP="007B73F8">
      <w:pPr>
        <w:rPr>
          <w:rFonts w:ascii="Times New Roman" w:eastAsiaTheme="minorEastAsia" w:hAnsi="Times New Roman"/>
          <w:szCs w:val="24"/>
        </w:rPr>
      </w:pPr>
      <w:r>
        <w:rPr>
          <w:rFonts w:ascii="Times New Roman" w:hAnsi="Times New Roman"/>
          <w:szCs w:val="24"/>
        </w:rPr>
        <w:t xml:space="preserve">Najznačajniju </w:t>
      </w:r>
      <w:r w:rsidR="00EB690B">
        <w:rPr>
          <w:rFonts w:ascii="Times New Roman" w:hAnsi="Times New Roman"/>
          <w:szCs w:val="24"/>
        </w:rPr>
        <w:t>stavku prihoda poslovanja čine pomoći iz državnog proračuna čime su financirani rashodi za zaposlene (plaće i prijevoz zaposlenika s posla i na posao, materijalna prava</w:t>
      </w:r>
      <w:r w:rsidR="002B0189">
        <w:rPr>
          <w:rFonts w:ascii="Times New Roman" w:hAnsi="Times New Roman"/>
          <w:szCs w:val="24"/>
        </w:rPr>
        <w:t xml:space="preserve"> i ostali rashodi za zaposlene).</w:t>
      </w:r>
      <w:r w:rsidR="00EB690B">
        <w:rPr>
          <w:rFonts w:ascii="Times New Roman" w:hAnsi="Times New Roman"/>
          <w:szCs w:val="24"/>
        </w:rPr>
        <w:t xml:space="preserve"> Ti priho</w:t>
      </w:r>
      <w:r w:rsidR="00C91464">
        <w:rPr>
          <w:rFonts w:ascii="Times New Roman" w:hAnsi="Times New Roman"/>
          <w:szCs w:val="24"/>
        </w:rPr>
        <w:t>di u 202</w:t>
      </w:r>
      <w:r w:rsidR="00221134">
        <w:rPr>
          <w:rFonts w:ascii="Times New Roman" w:hAnsi="Times New Roman"/>
          <w:szCs w:val="24"/>
        </w:rPr>
        <w:t>4</w:t>
      </w:r>
      <w:r w:rsidR="00EB690B">
        <w:rPr>
          <w:rFonts w:ascii="Times New Roman" w:hAnsi="Times New Roman"/>
          <w:szCs w:val="24"/>
        </w:rPr>
        <w:t xml:space="preserve">.g. </w:t>
      </w:r>
      <w:r>
        <w:rPr>
          <w:rFonts w:ascii="Times New Roman" w:hAnsi="Times New Roman"/>
          <w:szCs w:val="24"/>
        </w:rPr>
        <w:t>ostvareni su u iznosu od</w:t>
      </w:r>
      <w:r w:rsidR="00221134">
        <w:rPr>
          <w:rFonts w:ascii="Times New Roman" w:hAnsi="Times New Roman"/>
          <w:szCs w:val="24"/>
        </w:rPr>
        <w:t xml:space="preserve"> 1.778.739,42</w:t>
      </w:r>
      <w:r w:rsidR="00AE7FED">
        <w:rPr>
          <w:rFonts w:ascii="Times New Roman" w:hAnsi="Times New Roman"/>
          <w:szCs w:val="24"/>
        </w:rPr>
        <w:t xml:space="preserve"> eura </w:t>
      </w:r>
      <w:r w:rsidR="00EB690B">
        <w:rPr>
          <w:rFonts w:ascii="Times New Roman" w:hAnsi="Times New Roman"/>
          <w:szCs w:val="24"/>
        </w:rPr>
        <w:t xml:space="preserve">što je </w:t>
      </w:r>
      <w:r w:rsidR="00F240B6">
        <w:rPr>
          <w:rFonts w:ascii="Times New Roman" w:hAnsi="Times New Roman"/>
          <w:szCs w:val="24"/>
        </w:rPr>
        <w:t>1</w:t>
      </w:r>
      <w:r w:rsidR="00221134">
        <w:rPr>
          <w:rFonts w:ascii="Times New Roman" w:hAnsi="Times New Roman"/>
          <w:szCs w:val="24"/>
        </w:rPr>
        <w:t>4.27</w:t>
      </w:r>
      <w:r>
        <w:rPr>
          <w:rFonts w:ascii="Times New Roman" w:hAnsi="Times New Roman"/>
          <w:szCs w:val="24"/>
        </w:rPr>
        <w:t>% više u odnosu na i</w:t>
      </w:r>
      <w:r w:rsidR="00EB690B">
        <w:rPr>
          <w:rFonts w:ascii="Times New Roman" w:hAnsi="Times New Roman"/>
          <w:szCs w:val="24"/>
        </w:rPr>
        <w:t>sto razdoblje prethodne go</w:t>
      </w:r>
      <w:r w:rsidR="00221134">
        <w:rPr>
          <w:rFonts w:ascii="Times New Roman" w:hAnsi="Times New Roman"/>
          <w:szCs w:val="24"/>
        </w:rPr>
        <w:t>dine prvenstveno zbog stupanja na snagu novog zakona o plaćama, čime su povećani koeficijenti za obračun plaće svim djelatnicima.</w:t>
      </w:r>
      <w:r w:rsidR="007C4DA8">
        <w:rPr>
          <w:rFonts w:ascii="Times New Roman" w:hAnsi="Times New Roman"/>
          <w:szCs w:val="24"/>
        </w:rPr>
        <w:t>.</w:t>
      </w:r>
      <w:r w:rsidR="00982898">
        <w:rPr>
          <w:rFonts w:ascii="Times New Roman" w:hAnsi="Times New Roman"/>
          <w:szCs w:val="24"/>
        </w:rPr>
        <w:t xml:space="preserve"> U odnosu na plan 202</w:t>
      </w:r>
      <w:r w:rsidR="00221134">
        <w:rPr>
          <w:rFonts w:ascii="Times New Roman" w:hAnsi="Times New Roman"/>
          <w:szCs w:val="24"/>
        </w:rPr>
        <w:t>4</w:t>
      </w:r>
      <w:r w:rsidR="00982898">
        <w:rPr>
          <w:rFonts w:ascii="Times New Roman" w:hAnsi="Times New Roman"/>
          <w:szCs w:val="24"/>
        </w:rPr>
        <w:t xml:space="preserve">. godine izvršeni su </w:t>
      </w:r>
      <w:r w:rsidR="00221134">
        <w:rPr>
          <w:rFonts w:ascii="Times New Roman" w:hAnsi="Times New Roman"/>
          <w:szCs w:val="24"/>
        </w:rPr>
        <w:t>manje za 9,65</w:t>
      </w:r>
      <w:r w:rsidR="00982898">
        <w:rPr>
          <w:rFonts w:ascii="Times New Roman" w:hAnsi="Times New Roman"/>
          <w:szCs w:val="24"/>
        </w:rPr>
        <w:t xml:space="preserve"> %</w:t>
      </w:r>
      <w:r w:rsidR="00221134">
        <w:rPr>
          <w:rFonts w:ascii="Times New Roman" w:eastAsiaTheme="minorEastAsia" w:hAnsi="Times New Roman"/>
          <w:szCs w:val="24"/>
        </w:rPr>
        <w:t xml:space="preserve"> radi teškog preciznog planiranja tih povećanja.</w:t>
      </w:r>
    </w:p>
    <w:p w14:paraId="5A778660" w14:textId="2134DCBE" w:rsidR="00934921" w:rsidRPr="002557C0" w:rsidRDefault="00934921" w:rsidP="002557C0">
      <w:pPr>
        <w:spacing w:after="0" w:line="240" w:lineRule="auto"/>
        <w:rPr>
          <w:rFonts w:ascii="Times New Roman" w:eastAsia="Times New Roman" w:hAnsi="Times New Roman"/>
          <w:color w:val="000000"/>
          <w:lang w:eastAsia="hr-HR"/>
        </w:rPr>
      </w:pPr>
      <w:r w:rsidRPr="002557C0">
        <w:rPr>
          <w:rFonts w:ascii="Times New Roman" w:hAnsi="Times New Roman"/>
        </w:rPr>
        <w:t>Drugu značajnu stavku čine p</w:t>
      </w:r>
      <w:r w:rsidR="003E2E77" w:rsidRPr="002557C0">
        <w:rPr>
          <w:rFonts w:ascii="Times New Roman" w:hAnsi="Times New Roman"/>
        </w:rPr>
        <w:t xml:space="preserve">rihodi iz nadležnog proračuna realizirani su iznosu od </w:t>
      </w:r>
      <w:r w:rsidR="00221134">
        <w:rPr>
          <w:rFonts w:ascii="Times New Roman" w:eastAsia="Times New Roman" w:hAnsi="Times New Roman"/>
          <w:color w:val="000000"/>
          <w:lang w:eastAsia="hr-HR"/>
        </w:rPr>
        <w:t>156.316,22 eura</w:t>
      </w:r>
    </w:p>
    <w:p w14:paraId="5309815A" w14:textId="159C85D0" w:rsidR="0060337F" w:rsidRDefault="003E2E77" w:rsidP="007B73F8">
      <w:pPr>
        <w:rPr>
          <w:rFonts w:ascii="Times New Roman" w:hAnsi="Times New Roman"/>
        </w:rPr>
      </w:pPr>
      <w:r w:rsidRPr="002557C0">
        <w:rPr>
          <w:rFonts w:ascii="Times New Roman" w:hAnsi="Times New Roman"/>
        </w:rPr>
        <w:t xml:space="preserve">eura, što je </w:t>
      </w:r>
      <w:r w:rsidR="00221134">
        <w:rPr>
          <w:rFonts w:ascii="Times New Roman" w:hAnsi="Times New Roman"/>
        </w:rPr>
        <w:t>smanjenje</w:t>
      </w:r>
      <w:r w:rsidRPr="002557C0">
        <w:rPr>
          <w:rFonts w:ascii="Times New Roman" w:hAnsi="Times New Roman"/>
        </w:rPr>
        <w:t xml:space="preserve"> od </w:t>
      </w:r>
      <w:r w:rsidR="00345DC0">
        <w:rPr>
          <w:rFonts w:ascii="Times New Roman" w:hAnsi="Times New Roman"/>
        </w:rPr>
        <w:t>18,44</w:t>
      </w:r>
      <w:r w:rsidRPr="002557C0">
        <w:rPr>
          <w:rFonts w:ascii="Times New Roman" w:hAnsi="Times New Roman"/>
        </w:rPr>
        <w:t xml:space="preserve"> % u odnosu na prethodno razdoblje zbog odobrenih financiranja hitnih intervencija </w:t>
      </w:r>
      <w:r w:rsidR="00345DC0">
        <w:rPr>
          <w:rFonts w:ascii="Times New Roman" w:hAnsi="Times New Roman"/>
        </w:rPr>
        <w:t>u prethodnom razdoblju. Kao što je već ranije napomenuto ne knjiže se ostvareni prihodi od prijevoza učenika i osiguranja zgrada u ukupnom iznosu 77.638,39 eura koje plaća direktno PGŽ, pa je u odnosu na plan prisutno drastično odstupanje.</w:t>
      </w:r>
    </w:p>
    <w:p w14:paraId="30C6447F" w14:textId="15C3B5F8" w:rsidR="00345DC0" w:rsidRPr="00345DC0" w:rsidRDefault="00345DC0" w:rsidP="007B73F8">
      <w:pPr>
        <w:rPr>
          <w:rFonts w:ascii="Times New Roman" w:hAnsi="Times New Roman"/>
          <w:u w:val="single"/>
        </w:rPr>
      </w:pPr>
      <w:r w:rsidRPr="00345DC0">
        <w:rPr>
          <w:rFonts w:ascii="Times New Roman" w:hAnsi="Times New Roman"/>
          <w:u w:val="single"/>
        </w:rPr>
        <w:t>Prihodi od prodaje nefinancijske imovine:</w:t>
      </w:r>
    </w:p>
    <w:p w14:paraId="51974709" w14:textId="34B6ED97" w:rsidR="002679C8" w:rsidRPr="00345DC0" w:rsidRDefault="007B73F8" w:rsidP="002679C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60337F">
        <w:rPr>
          <w:rFonts w:ascii="Times New Roman" w:hAnsi="Times New Roman"/>
          <w:szCs w:val="24"/>
        </w:rPr>
        <w:t xml:space="preserve"> 202</w:t>
      </w:r>
      <w:r w:rsidR="00345DC0">
        <w:rPr>
          <w:rFonts w:ascii="Times New Roman" w:hAnsi="Times New Roman"/>
          <w:szCs w:val="24"/>
        </w:rPr>
        <w:t>4</w:t>
      </w:r>
      <w:r w:rsidR="00603720">
        <w:rPr>
          <w:rFonts w:ascii="Times New Roman" w:hAnsi="Times New Roman"/>
          <w:szCs w:val="24"/>
        </w:rPr>
        <w:t xml:space="preserve">. godini </w:t>
      </w:r>
      <w:r>
        <w:rPr>
          <w:rFonts w:ascii="Times New Roman" w:hAnsi="Times New Roman"/>
          <w:szCs w:val="24"/>
        </w:rPr>
        <w:t xml:space="preserve">ostvareni </w:t>
      </w:r>
      <w:r w:rsidR="00603720">
        <w:rPr>
          <w:rFonts w:ascii="Times New Roman" w:hAnsi="Times New Roman"/>
          <w:szCs w:val="24"/>
        </w:rPr>
        <w:t xml:space="preserve">su </w:t>
      </w:r>
      <w:r>
        <w:rPr>
          <w:rFonts w:ascii="Times New Roman" w:hAnsi="Times New Roman"/>
          <w:szCs w:val="24"/>
        </w:rPr>
        <w:t>prihodi o</w:t>
      </w:r>
      <w:r w:rsidR="00603720">
        <w:rPr>
          <w:rFonts w:ascii="Times New Roman" w:hAnsi="Times New Roman"/>
          <w:szCs w:val="24"/>
        </w:rPr>
        <w:t xml:space="preserve">d prodaje nefinancijske imovine u </w:t>
      </w:r>
      <w:r w:rsidR="002557C0">
        <w:rPr>
          <w:rFonts w:ascii="Times New Roman" w:hAnsi="Times New Roman"/>
          <w:szCs w:val="24"/>
        </w:rPr>
        <w:t xml:space="preserve">iznosu </w:t>
      </w:r>
      <w:r w:rsidR="00345DC0">
        <w:rPr>
          <w:rFonts w:ascii="Times New Roman" w:hAnsi="Times New Roman"/>
          <w:szCs w:val="24"/>
        </w:rPr>
        <w:t>294.869,13</w:t>
      </w:r>
      <w:r w:rsidR="002557C0">
        <w:rPr>
          <w:rFonts w:ascii="Times New Roman" w:hAnsi="Times New Roman"/>
          <w:szCs w:val="24"/>
        </w:rPr>
        <w:t xml:space="preserve"> eur</w:t>
      </w:r>
      <w:r w:rsidR="00345DC0">
        <w:rPr>
          <w:rFonts w:ascii="Times New Roman" w:hAnsi="Times New Roman"/>
          <w:szCs w:val="24"/>
        </w:rPr>
        <w:t xml:space="preserve">a. Škola je prodala zgrade bivših područnih škola u </w:t>
      </w:r>
      <w:proofErr w:type="spellStart"/>
      <w:r w:rsidR="00345DC0">
        <w:rPr>
          <w:rFonts w:ascii="Times New Roman" w:hAnsi="Times New Roman"/>
          <w:szCs w:val="24"/>
        </w:rPr>
        <w:t>Dokmanovićima</w:t>
      </w:r>
      <w:proofErr w:type="spellEnd"/>
      <w:r w:rsidR="00345DC0">
        <w:rPr>
          <w:rFonts w:ascii="Times New Roman" w:hAnsi="Times New Roman"/>
          <w:szCs w:val="24"/>
        </w:rPr>
        <w:t xml:space="preserve"> i </w:t>
      </w:r>
      <w:proofErr w:type="spellStart"/>
      <w:r w:rsidR="00345DC0">
        <w:rPr>
          <w:rFonts w:ascii="Times New Roman" w:hAnsi="Times New Roman"/>
          <w:szCs w:val="24"/>
        </w:rPr>
        <w:t>Ljubošini</w:t>
      </w:r>
      <w:proofErr w:type="spellEnd"/>
      <w:r w:rsidR="00345DC0">
        <w:rPr>
          <w:rFonts w:ascii="Times New Roman" w:hAnsi="Times New Roman"/>
          <w:szCs w:val="24"/>
        </w:rPr>
        <w:t xml:space="preserve"> koje dugi niz godina nisu bile u funkciji nastave</w:t>
      </w:r>
      <w:r w:rsidR="0024193D">
        <w:rPr>
          <w:rFonts w:ascii="Times New Roman" w:hAnsi="Times New Roman"/>
          <w:szCs w:val="24"/>
        </w:rPr>
        <w:t xml:space="preserve"> i dotrajalo vozilo u vlasništvu škole</w:t>
      </w:r>
      <w:r w:rsidR="00345DC0">
        <w:rPr>
          <w:rFonts w:ascii="Times New Roman" w:hAnsi="Times New Roman"/>
          <w:szCs w:val="24"/>
        </w:rPr>
        <w:t xml:space="preserve">. Ostvareni prihodi su na razini plana </w:t>
      </w:r>
      <w:r w:rsidR="0024193D">
        <w:rPr>
          <w:rFonts w:ascii="Times New Roman" w:hAnsi="Times New Roman"/>
          <w:szCs w:val="24"/>
        </w:rPr>
        <w:t>za 2024. godinu</w:t>
      </w:r>
    </w:p>
    <w:p w14:paraId="0A953AC0" w14:textId="77777777" w:rsidR="0024193D" w:rsidRDefault="002679C8" w:rsidP="002679C8">
      <w:pPr>
        <w:rPr>
          <w:rFonts w:ascii="Times New Roman" w:eastAsia="Times New Roman" w:hAnsi="Times New Roman"/>
          <w:szCs w:val="24"/>
          <w:u w:val="single"/>
          <w:lang w:eastAsia="hr-HR"/>
        </w:rPr>
      </w:pPr>
      <w:r w:rsidRPr="00981840">
        <w:rPr>
          <w:rFonts w:ascii="Times New Roman" w:eastAsia="Times New Roman" w:hAnsi="Times New Roman"/>
          <w:szCs w:val="24"/>
          <w:lang w:eastAsia="hr-HR"/>
        </w:rPr>
        <w:t>1.</w:t>
      </w:r>
      <w:r w:rsidR="00E4685B" w:rsidRPr="00981840">
        <w:rPr>
          <w:rFonts w:ascii="Times New Roman" w:eastAsia="Times New Roman" w:hAnsi="Times New Roman"/>
          <w:szCs w:val="24"/>
          <w:lang w:eastAsia="hr-HR"/>
        </w:rPr>
        <w:t>2</w:t>
      </w:r>
      <w:r w:rsidRPr="00981840">
        <w:rPr>
          <w:rFonts w:ascii="Times New Roman" w:eastAsia="Times New Roman" w:hAnsi="Times New Roman"/>
          <w:szCs w:val="24"/>
          <w:lang w:eastAsia="hr-HR"/>
        </w:rPr>
        <w:t xml:space="preserve"> RASHODI </w:t>
      </w:r>
      <w:r w:rsidR="002557C0" w:rsidRPr="00981840">
        <w:rPr>
          <w:rFonts w:ascii="Times New Roman" w:eastAsia="Times New Roman" w:hAnsi="Times New Roman"/>
          <w:szCs w:val="24"/>
          <w:lang w:eastAsia="hr-HR"/>
        </w:rPr>
        <w:t>I IZDAC</w:t>
      </w:r>
      <w:r w:rsidR="00E4685B" w:rsidRPr="00981840">
        <w:rPr>
          <w:rFonts w:ascii="Times New Roman" w:eastAsia="Times New Roman" w:hAnsi="Times New Roman"/>
          <w:szCs w:val="24"/>
          <w:lang w:eastAsia="hr-HR"/>
        </w:rPr>
        <w:t>I</w:t>
      </w:r>
    </w:p>
    <w:p w14:paraId="24FC028C" w14:textId="77777777" w:rsidR="0024193D" w:rsidRDefault="0024193D" w:rsidP="002679C8">
      <w:pPr>
        <w:rPr>
          <w:rFonts w:ascii="Times New Roman" w:eastAsia="Times New Roman" w:hAnsi="Times New Roman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szCs w:val="24"/>
          <w:u w:val="single"/>
          <w:lang w:eastAsia="hr-HR"/>
        </w:rPr>
        <w:t>Rashodi poslovanja:</w:t>
      </w:r>
    </w:p>
    <w:p w14:paraId="7DC398B9" w14:textId="37706557" w:rsidR="002679C8" w:rsidRPr="0024193D" w:rsidRDefault="00E4685B" w:rsidP="002679C8">
      <w:pPr>
        <w:rPr>
          <w:rFonts w:ascii="Times New Roman" w:eastAsia="Times New Roman" w:hAnsi="Times New Roman"/>
          <w:szCs w:val="24"/>
          <w:u w:val="single"/>
          <w:lang w:eastAsia="hr-HR"/>
        </w:rPr>
      </w:pPr>
      <w:r>
        <w:rPr>
          <w:rFonts w:ascii="Times New Roman" w:hAnsi="Times New Roman"/>
          <w:bCs/>
          <w:szCs w:val="24"/>
        </w:rPr>
        <w:t>Najznačajniji udio u ukupnim rashodima čine r</w:t>
      </w:r>
      <w:r w:rsidR="002679C8">
        <w:rPr>
          <w:rFonts w:ascii="Times New Roman" w:hAnsi="Times New Roman"/>
          <w:bCs/>
          <w:szCs w:val="24"/>
        </w:rPr>
        <w:t xml:space="preserve">ashodi za zaposlene izvršeni su u iznosu od </w:t>
      </w:r>
      <w:r>
        <w:rPr>
          <w:rFonts w:ascii="Times New Roman" w:hAnsi="Times New Roman"/>
          <w:bCs/>
          <w:szCs w:val="24"/>
        </w:rPr>
        <w:t>1.</w:t>
      </w:r>
      <w:r w:rsidR="0024193D">
        <w:rPr>
          <w:rFonts w:ascii="Times New Roman" w:hAnsi="Times New Roman"/>
          <w:bCs/>
          <w:szCs w:val="24"/>
        </w:rPr>
        <w:t>552.548,51</w:t>
      </w:r>
      <w:r>
        <w:rPr>
          <w:rFonts w:ascii="Times New Roman" w:hAnsi="Times New Roman"/>
          <w:bCs/>
          <w:szCs w:val="24"/>
        </w:rPr>
        <w:t xml:space="preserve"> </w:t>
      </w:r>
      <w:r w:rsidR="0060337F">
        <w:rPr>
          <w:rFonts w:ascii="Times New Roman" w:hAnsi="Times New Roman"/>
          <w:bCs/>
          <w:szCs w:val="24"/>
        </w:rPr>
        <w:t>eura</w:t>
      </w:r>
      <w:r w:rsidR="002679C8">
        <w:rPr>
          <w:rFonts w:ascii="Times New Roman" w:hAnsi="Times New Roman"/>
          <w:bCs/>
          <w:szCs w:val="24"/>
        </w:rPr>
        <w:t xml:space="preserve"> št</w:t>
      </w:r>
      <w:r w:rsidR="00F2603E">
        <w:rPr>
          <w:rFonts w:ascii="Times New Roman" w:hAnsi="Times New Roman"/>
          <w:bCs/>
          <w:szCs w:val="24"/>
        </w:rPr>
        <w:t xml:space="preserve">o predstavlja izvršenje od </w:t>
      </w:r>
      <w:r>
        <w:rPr>
          <w:rFonts w:ascii="Times New Roman" w:hAnsi="Times New Roman"/>
          <w:bCs/>
          <w:szCs w:val="24"/>
        </w:rPr>
        <w:t>9</w:t>
      </w:r>
      <w:r w:rsidR="0024193D">
        <w:rPr>
          <w:rFonts w:ascii="Times New Roman" w:hAnsi="Times New Roman"/>
          <w:bCs/>
          <w:szCs w:val="24"/>
        </w:rPr>
        <w:t>3,75</w:t>
      </w:r>
      <w:r w:rsidR="002679C8">
        <w:rPr>
          <w:rFonts w:ascii="Times New Roman" w:hAnsi="Times New Roman"/>
          <w:bCs/>
          <w:szCs w:val="24"/>
        </w:rPr>
        <w:t>% planiranih sredstava za</w:t>
      </w:r>
      <w:r w:rsidR="0060337F">
        <w:rPr>
          <w:rFonts w:ascii="Times New Roman" w:hAnsi="Times New Roman"/>
          <w:bCs/>
          <w:szCs w:val="24"/>
        </w:rPr>
        <w:t xml:space="preserve"> 202</w:t>
      </w:r>
      <w:r w:rsidR="0024193D">
        <w:rPr>
          <w:rFonts w:ascii="Times New Roman" w:hAnsi="Times New Roman"/>
          <w:bCs/>
          <w:szCs w:val="24"/>
        </w:rPr>
        <w:t>4</w:t>
      </w:r>
      <w:r w:rsidR="0060337F">
        <w:rPr>
          <w:rFonts w:ascii="Times New Roman" w:hAnsi="Times New Roman"/>
          <w:bCs/>
          <w:szCs w:val="24"/>
        </w:rPr>
        <w:t>. za</w:t>
      </w:r>
      <w:r w:rsidR="002679C8">
        <w:rPr>
          <w:rFonts w:ascii="Times New Roman" w:hAnsi="Times New Roman"/>
          <w:bCs/>
          <w:szCs w:val="24"/>
        </w:rPr>
        <w:t xml:space="preserve"> tu namjenu. </w:t>
      </w:r>
      <w:r w:rsidR="0060337F">
        <w:rPr>
          <w:rFonts w:ascii="Times New Roman" w:hAnsi="Times New Roman"/>
          <w:bCs/>
          <w:szCs w:val="24"/>
        </w:rPr>
        <w:t>U odnosu na 202</w:t>
      </w:r>
      <w:r w:rsidR="0024193D">
        <w:rPr>
          <w:rFonts w:ascii="Times New Roman" w:hAnsi="Times New Roman"/>
          <w:bCs/>
          <w:szCs w:val="24"/>
        </w:rPr>
        <w:t>3</w:t>
      </w:r>
      <w:r w:rsidR="0060337F">
        <w:rPr>
          <w:rFonts w:ascii="Times New Roman" w:hAnsi="Times New Roman"/>
          <w:bCs/>
          <w:szCs w:val="24"/>
        </w:rPr>
        <w:t xml:space="preserve"> to je povećanje od </w:t>
      </w:r>
      <w:r w:rsidR="0024193D">
        <w:rPr>
          <w:rFonts w:ascii="Times New Roman" w:hAnsi="Times New Roman"/>
          <w:bCs/>
          <w:szCs w:val="24"/>
        </w:rPr>
        <w:t>23,06</w:t>
      </w:r>
      <w:r w:rsidR="00F2603E">
        <w:rPr>
          <w:rFonts w:ascii="Times New Roman" w:hAnsi="Times New Roman"/>
          <w:bCs/>
          <w:szCs w:val="24"/>
        </w:rPr>
        <w:t>%</w:t>
      </w:r>
      <w:r w:rsidR="002B0189">
        <w:rPr>
          <w:rFonts w:ascii="Times New Roman" w:hAnsi="Times New Roman"/>
          <w:bCs/>
          <w:szCs w:val="24"/>
        </w:rPr>
        <w:t xml:space="preserve"> </w:t>
      </w:r>
    </w:p>
    <w:p w14:paraId="53C6F29B" w14:textId="14959653" w:rsidR="002679C8" w:rsidRDefault="002679C8" w:rsidP="002679C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Ukupno izvršenje materijalnih rashoda iznosi </w:t>
      </w:r>
      <w:r w:rsidR="0024193D">
        <w:rPr>
          <w:rFonts w:ascii="Times New Roman" w:hAnsi="Times New Roman"/>
          <w:bCs/>
          <w:szCs w:val="24"/>
        </w:rPr>
        <w:t>329.044,90</w:t>
      </w:r>
      <w:r w:rsidR="004C6A99">
        <w:rPr>
          <w:rFonts w:ascii="Times New Roman" w:hAnsi="Times New Roman"/>
          <w:bCs/>
          <w:szCs w:val="24"/>
        </w:rPr>
        <w:t xml:space="preserve"> eura </w:t>
      </w:r>
      <w:r w:rsidR="002B0189">
        <w:rPr>
          <w:rFonts w:ascii="Times New Roman" w:hAnsi="Times New Roman"/>
          <w:bCs/>
          <w:szCs w:val="24"/>
        </w:rPr>
        <w:t xml:space="preserve">tj. </w:t>
      </w:r>
      <w:r w:rsidR="0024193D">
        <w:rPr>
          <w:rFonts w:ascii="Times New Roman" w:hAnsi="Times New Roman"/>
          <w:bCs/>
          <w:szCs w:val="24"/>
        </w:rPr>
        <w:t>6,39</w:t>
      </w:r>
      <w:r>
        <w:rPr>
          <w:rFonts w:ascii="Times New Roman" w:hAnsi="Times New Roman"/>
          <w:bCs/>
          <w:szCs w:val="24"/>
        </w:rPr>
        <w:t xml:space="preserve">% </w:t>
      </w:r>
      <w:r w:rsidR="00E4685B">
        <w:rPr>
          <w:rFonts w:ascii="Times New Roman" w:hAnsi="Times New Roman"/>
          <w:bCs/>
          <w:szCs w:val="24"/>
        </w:rPr>
        <w:t xml:space="preserve">više od </w:t>
      </w:r>
      <w:r>
        <w:rPr>
          <w:rFonts w:ascii="Times New Roman" w:hAnsi="Times New Roman"/>
          <w:bCs/>
          <w:szCs w:val="24"/>
        </w:rPr>
        <w:t>plana</w:t>
      </w:r>
      <w:r w:rsidR="004C6A99">
        <w:rPr>
          <w:rFonts w:ascii="Times New Roman" w:hAnsi="Times New Roman"/>
          <w:bCs/>
          <w:szCs w:val="24"/>
        </w:rPr>
        <w:t xml:space="preserve"> 202</w:t>
      </w:r>
      <w:r w:rsidR="0024193D">
        <w:rPr>
          <w:rFonts w:ascii="Times New Roman" w:hAnsi="Times New Roman"/>
          <w:bCs/>
          <w:szCs w:val="24"/>
        </w:rPr>
        <w:t>4</w:t>
      </w:r>
      <w:r w:rsidR="004C6A99">
        <w:rPr>
          <w:rFonts w:ascii="Times New Roman" w:hAnsi="Times New Roman"/>
          <w:bCs/>
          <w:szCs w:val="24"/>
        </w:rPr>
        <w:t>.,</w:t>
      </w:r>
      <w:r>
        <w:rPr>
          <w:rFonts w:ascii="Times New Roman" w:hAnsi="Times New Roman"/>
          <w:bCs/>
          <w:szCs w:val="24"/>
        </w:rPr>
        <w:t xml:space="preserve"> te </w:t>
      </w:r>
      <w:r w:rsidR="0024193D">
        <w:rPr>
          <w:rFonts w:ascii="Times New Roman" w:hAnsi="Times New Roman"/>
          <w:bCs/>
          <w:szCs w:val="24"/>
        </w:rPr>
        <w:t>39,54</w:t>
      </w:r>
      <w:r w:rsidR="002B0189">
        <w:rPr>
          <w:rFonts w:ascii="Times New Roman" w:hAnsi="Times New Roman"/>
          <w:bCs/>
          <w:szCs w:val="24"/>
        </w:rPr>
        <w:t>%</w:t>
      </w:r>
      <w:r>
        <w:rPr>
          <w:rFonts w:ascii="Times New Roman" w:hAnsi="Times New Roman"/>
          <w:bCs/>
          <w:szCs w:val="24"/>
        </w:rPr>
        <w:t xml:space="preserve"> više u odnosu na </w:t>
      </w:r>
      <w:r w:rsidR="004C6A99">
        <w:rPr>
          <w:rFonts w:ascii="Times New Roman" w:hAnsi="Times New Roman"/>
          <w:bCs/>
          <w:szCs w:val="24"/>
        </w:rPr>
        <w:t>202</w:t>
      </w:r>
      <w:r w:rsidR="0024193D">
        <w:rPr>
          <w:rFonts w:ascii="Times New Roman" w:hAnsi="Times New Roman"/>
          <w:bCs/>
          <w:szCs w:val="24"/>
        </w:rPr>
        <w:t>3</w:t>
      </w:r>
      <w:r w:rsidR="002B0189">
        <w:rPr>
          <w:rFonts w:ascii="Times New Roman" w:hAnsi="Times New Roman"/>
          <w:bCs/>
          <w:szCs w:val="24"/>
        </w:rPr>
        <w:t>. godinu</w:t>
      </w:r>
      <w:r>
        <w:rPr>
          <w:rFonts w:ascii="Times New Roman" w:hAnsi="Times New Roman"/>
          <w:bCs/>
          <w:szCs w:val="24"/>
        </w:rPr>
        <w:t>. U strukturi materijalnih rashod</w:t>
      </w:r>
      <w:r w:rsidR="00EB37D9">
        <w:rPr>
          <w:rFonts w:ascii="Times New Roman" w:hAnsi="Times New Roman"/>
          <w:bCs/>
          <w:szCs w:val="24"/>
        </w:rPr>
        <w:t>a za promatrano razdoblje najveći rast</w:t>
      </w:r>
      <w:r>
        <w:rPr>
          <w:rFonts w:ascii="Times New Roman" w:hAnsi="Times New Roman"/>
          <w:bCs/>
          <w:szCs w:val="24"/>
        </w:rPr>
        <w:t xml:space="preserve"> </w:t>
      </w:r>
      <w:r w:rsidR="00EB37D9">
        <w:rPr>
          <w:rFonts w:ascii="Times New Roman" w:hAnsi="Times New Roman"/>
          <w:bCs/>
          <w:szCs w:val="24"/>
        </w:rPr>
        <w:t xml:space="preserve"> u </w:t>
      </w:r>
      <w:r w:rsidR="006B65B5">
        <w:rPr>
          <w:rFonts w:ascii="Times New Roman" w:hAnsi="Times New Roman"/>
          <w:bCs/>
          <w:szCs w:val="24"/>
        </w:rPr>
        <w:t>odnosu na prethodno čine rashodi za usluge</w:t>
      </w:r>
      <w:r w:rsidR="0024193D">
        <w:rPr>
          <w:rFonts w:ascii="Times New Roman" w:hAnsi="Times New Roman"/>
          <w:bCs/>
          <w:szCs w:val="24"/>
        </w:rPr>
        <w:t xml:space="preserve"> (izmjena </w:t>
      </w:r>
      <w:r w:rsidR="006B65B5">
        <w:rPr>
          <w:rFonts w:ascii="Times New Roman" w:hAnsi="Times New Roman"/>
          <w:bCs/>
          <w:szCs w:val="24"/>
        </w:rPr>
        <w:t>vanjske stolarije na PŠ Moravice</w:t>
      </w:r>
      <w:r w:rsidR="0024193D">
        <w:rPr>
          <w:rFonts w:ascii="Times New Roman" w:hAnsi="Times New Roman"/>
          <w:bCs/>
          <w:szCs w:val="24"/>
        </w:rPr>
        <w:t>).</w:t>
      </w:r>
    </w:p>
    <w:p w14:paraId="49B49ACF" w14:textId="68C594E4" w:rsidR="0024193D" w:rsidRPr="0024193D" w:rsidRDefault="0024193D" w:rsidP="002679C8">
      <w:pPr>
        <w:rPr>
          <w:rFonts w:ascii="Times New Roman" w:hAnsi="Times New Roman"/>
          <w:bCs/>
          <w:szCs w:val="24"/>
          <w:u w:val="single"/>
        </w:rPr>
      </w:pPr>
      <w:r w:rsidRPr="0024193D">
        <w:rPr>
          <w:rFonts w:ascii="Times New Roman" w:hAnsi="Times New Roman"/>
          <w:bCs/>
          <w:szCs w:val="24"/>
          <w:u w:val="single"/>
        </w:rPr>
        <w:t>Rashodi za nabavu nefinancijske imovine:</w:t>
      </w:r>
    </w:p>
    <w:p w14:paraId="2053BF92" w14:textId="25D47911" w:rsidR="00981840" w:rsidRDefault="002679C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Ukupni rashodi za nabavu nefinancijske imovine </w:t>
      </w:r>
      <w:r w:rsidR="00E661F4">
        <w:rPr>
          <w:rFonts w:ascii="Times New Roman" w:hAnsi="Times New Roman"/>
          <w:szCs w:val="24"/>
        </w:rPr>
        <w:t>u 202</w:t>
      </w:r>
      <w:r w:rsidR="0024193D">
        <w:rPr>
          <w:rFonts w:ascii="Times New Roman" w:hAnsi="Times New Roman"/>
          <w:szCs w:val="24"/>
        </w:rPr>
        <w:t>4</w:t>
      </w:r>
      <w:r>
        <w:rPr>
          <w:rFonts w:ascii="Times New Roman" w:hAnsi="Times New Roman"/>
          <w:szCs w:val="24"/>
        </w:rPr>
        <w:t xml:space="preserve">. godini </w:t>
      </w:r>
      <w:r w:rsidR="00B00281">
        <w:rPr>
          <w:rFonts w:ascii="Times New Roman" w:hAnsi="Times New Roman"/>
          <w:szCs w:val="24"/>
        </w:rPr>
        <w:t>planirani</w:t>
      </w:r>
      <w:r w:rsidR="0024193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su u iznosu od </w:t>
      </w:r>
      <w:r w:rsidR="00B00281">
        <w:rPr>
          <w:rFonts w:ascii="Times New Roman" w:hAnsi="Times New Roman"/>
          <w:bCs/>
          <w:szCs w:val="24"/>
        </w:rPr>
        <w:t>97.165,28</w:t>
      </w:r>
      <w:r>
        <w:rPr>
          <w:rFonts w:ascii="Times New Roman" w:hAnsi="Times New Roman"/>
          <w:bCs/>
          <w:szCs w:val="24"/>
        </w:rPr>
        <w:t xml:space="preserve"> </w:t>
      </w:r>
      <w:r w:rsidR="00E661F4">
        <w:rPr>
          <w:rFonts w:ascii="Times New Roman" w:hAnsi="Times New Roman"/>
          <w:bCs/>
          <w:szCs w:val="24"/>
        </w:rPr>
        <w:t>eura</w:t>
      </w: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od čega je</w:t>
      </w:r>
      <w:r w:rsidR="00181541">
        <w:rPr>
          <w:rFonts w:ascii="Times New Roman" w:hAnsi="Times New Roman"/>
          <w:bCs/>
          <w:szCs w:val="24"/>
        </w:rPr>
        <w:t xml:space="preserve"> u </w:t>
      </w:r>
      <w:r>
        <w:rPr>
          <w:rFonts w:ascii="Times New Roman" w:hAnsi="Times New Roman"/>
          <w:bCs/>
          <w:szCs w:val="24"/>
        </w:rPr>
        <w:t>realizirano</w:t>
      </w:r>
      <w:r w:rsidR="00E661F4">
        <w:rPr>
          <w:rFonts w:ascii="Times New Roman" w:hAnsi="Times New Roman"/>
          <w:bCs/>
          <w:szCs w:val="24"/>
        </w:rPr>
        <w:t xml:space="preserve"> </w:t>
      </w:r>
      <w:r w:rsidR="00B00281">
        <w:rPr>
          <w:rFonts w:ascii="Times New Roman" w:hAnsi="Times New Roman"/>
          <w:bCs/>
          <w:szCs w:val="24"/>
        </w:rPr>
        <w:t>64.825,52</w:t>
      </w:r>
      <w:r w:rsidR="00981840">
        <w:rPr>
          <w:rFonts w:ascii="Times New Roman" w:hAnsi="Times New Roman"/>
          <w:bCs/>
          <w:szCs w:val="24"/>
        </w:rPr>
        <w:t xml:space="preserve"> </w:t>
      </w:r>
      <w:r w:rsidR="00E661F4">
        <w:rPr>
          <w:rFonts w:ascii="Times New Roman" w:hAnsi="Times New Roman"/>
          <w:bCs/>
          <w:szCs w:val="24"/>
        </w:rPr>
        <w:t>eura</w:t>
      </w:r>
      <w:r w:rsidR="00B00281">
        <w:rPr>
          <w:rFonts w:ascii="Times New Roman" w:hAnsi="Times New Roman"/>
          <w:bCs/>
          <w:szCs w:val="24"/>
        </w:rPr>
        <w:t xml:space="preserve"> (nabavka novog vozila i računalne opreme za potrebe </w:t>
      </w:r>
      <w:r w:rsidR="00B00281">
        <w:rPr>
          <w:rFonts w:ascii="Times New Roman" w:hAnsi="Times New Roman"/>
          <w:bCs/>
          <w:szCs w:val="24"/>
        </w:rPr>
        <w:lastRenderedPageBreak/>
        <w:t>nastave). Zbog provođenja postupaka jednostavne javne nabave i procedure koja je potrebna, dio planiranih nabava bit će realiziran u narednom razdoblju.</w:t>
      </w:r>
    </w:p>
    <w:p w14:paraId="50AA2416" w14:textId="4D3D8391" w:rsidR="00772ED8" w:rsidRDefault="00772ED8" w:rsidP="00772ED8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1.3.VIŠAK PRIHODA POSLOVANJA</w:t>
      </w:r>
      <w:r w:rsidR="00E17651">
        <w:rPr>
          <w:rFonts w:ascii="Times New Roman" w:hAnsi="Times New Roman"/>
          <w:bCs/>
          <w:szCs w:val="24"/>
        </w:rPr>
        <w:t xml:space="preserve"> </w:t>
      </w:r>
    </w:p>
    <w:p w14:paraId="2F184D17" w14:textId="4E810F40" w:rsidR="003C66AD" w:rsidRDefault="00FD2E9D" w:rsidP="00772ED8">
      <w:pPr>
        <w:rPr>
          <w:rFonts w:ascii="Times New Roman" w:hAnsi="Times New Roman"/>
          <w:bCs/>
          <w:szCs w:val="24"/>
        </w:rPr>
      </w:pPr>
      <w:r w:rsidRPr="00772ED8">
        <w:rPr>
          <w:rFonts w:ascii="Times New Roman" w:hAnsi="Times New Roman"/>
          <w:bCs/>
          <w:szCs w:val="24"/>
        </w:rPr>
        <w:t xml:space="preserve">Utvrđeni </w:t>
      </w:r>
      <w:r w:rsidR="00981840" w:rsidRPr="00772ED8">
        <w:rPr>
          <w:rFonts w:ascii="Times New Roman" w:hAnsi="Times New Roman"/>
          <w:bCs/>
          <w:szCs w:val="24"/>
        </w:rPr>
        <w:t>višak</w:t>
      </w:r>
      <w:r w:rsidRPr="00772ED8">
        <w:rPr>
          <w:rFonts w:ascii="Times New Roman" w:hAnsi="Times New Roman"/>
          <w:bCs/>
          <w:szCs w:val="24"/>
        </w:rPr>
        <w:t xml:space="preserve"> prihoda nad rashodima u izvještajnom razdoblju </w:t>
      </w:r>
      <w:r w:rsidR="0008026A" w:rsidRPr="00772ED8">
        <w:rPr>
          <w:rFonts w:ascii="Times New Roman" w:hAnsi="Times New Roman"/>
          <w:bCs/>
          <w:szCs w:val="24"/>
        </w:rPr>
        <w:t>202</w:t>
      </w:r>
      <w:r w:rsidR="004A2829">
        <w:rPr>
          <w:rFonts w:ascii="Times New Roman" w:hAnsi="Times New Roman"/>
          <w:bCs/>
          <w:szCs w:val="24"/>
        </w:rPr>
        <w:t>3</w:t>
      </w:r>
      <w:r w:rsidR="0008026A" w:rsidRPr="00772ED8">
        <w:rPr>
          <w:rFonts w:ascii="Times New Roman" w:hAnsi="Times New Roman"/>
          <w:bCs/>
          <w:szCs w:val="24"/>
        </w:rPr>
        <w:t xml:space="preserve">. godine, </w:t>
      </w:r>
      <w:r w:rsidRPr="00772ED8">
        <w:rPr>
          <w:rFonts w:ascii="Times New Roman" w:hAnsi="Times New Roman"/>
          <w:bCs/>
          <w:szCs w:val="24"/>
        </w:rPr>
        <w:t xml:space="preserve">u iznosu od </w:t>
      </w:r>
      <w:r w:rsidR="004A2829">
        <w:rPr>
          <w:rFonts w:ascii="Times New Roman" w:hAnsi="Times New Roman"/>
          <w:bCs/>
          <w:szCs w:val="24"/>
        </w:rPr>
        <w:t>8.681,21</w:t>
      </w:r>
      <w:r w:rsidR="00981840" w:rsidRPr="00772ED8">
        <w:rPr>
          <w:rFonts w:ascii="Times New Roman" w:hAnsi="Times New Roman"/>
          <w:bCs/>
          <w:szCs w:val="24"/>
        </w:rPr>
        <w:t xml:space="preserve"> </w:t>
      </w:r>
      <w:r w:rsidRPr="00772ED8">
        <w:rPr>
          <w:rFonts w:ascii="Times New Roman" w:hAnsi="Times New Roman"/>
          <w:bCs/>
          <w:szCs w:val="24"/>
        </w:rPr>
        <w:t xml:space="preserve">eura </w:t>
      </w:r>
      <w:r w:rsidR="00981840" w:rsidRPr="00772ED8">
        <w:rPr>
          <w:rFonts w:ascii="Times New Roman" w:hAnsi="Times New Roman"/>
          <w:bCs/>
          <w:szCs w:val="24"/>
        </w:rPr>
        <w:t>,</w:t>
      </w:r>
      <w:r w:rsidR="004A2829">
        <w:rPr>
          <w:rFonts w:ascii="Times New Roman" w:hAnsi="Times New Roman"/>
          <w:bCs/>
          <w:szCs w:val="24"/>
        </w:rPr>
        <w:t xml:space="preserve">a ukupan raspoloživi višak iznosi 11.478,73 eura  koji je </w:t>
      </w:r>
      <w:r w:rsidR="00772ED8" w:rsidRPr="00772ED8">
        <w:rPr>
          <w:rFonts w:ascii="Times New Roman" w:hAnsi="Times New Roman"/>
          <w:bCs/>
          <w:szCs w:val="24"/>
        </w:rPr>
        <w:t>u cijelosti je utrošen u</w:t>
      </w:r>
      <w:r w:rsidR="00981840" w:rsidRPr="00772ED8">
        <w:rPr>
          <w:rFonts w:ascii="Times New Roman" w:hAnsi="Times New Roman"/>
          <w:bCs/>
          <w:szCs w:val="24"/>
        </w:rPr>
        <w:t xml:space="preserve"> </w:t>
      </w:r>
      <w:r w:rsidR="00772ED8" w:rsidRPr="00772ED8">
        <w:rPr>
          <w:rFonts w:ascii="Times New Roman" w:hAnsi="Times New Roman"/>
          <w:bCs/>
          <w:szCs w:val="24"/>
        </w:rPr>
        <w:t>202</w:t>
      </w:r>
      <w:r w:rsidR="004A2829">
        <w:rPr>
          <w:rFonts w:ascii="Times New Roman" w:hAnsi="Times New Roman"/>
          <w:bCs/>
          <w:szCs w:val="24"/>
        </w:rPr>
        <w:t>4</w:t>
      </w:r>
      <w:r w:rsidR="00772ED8" w:rsidRPr="00772ED8">
        <w:rPr>
          <w:rFonts w:ascii="Times New Roman" w:hAnsi="Times New Roman"/>
          <w:bCs/>
          <w:szCs w:val="24"/>
        </w:rPr>
        <w:t>. godini</w:t>
      </w:r>
      <w:r w:rsidR="00981840" w:rsidRPr="00772ED8">
        <w:rPr>
          <w:rFonts w:ascii="Times New Roman" w:hAnsi="Times New Roman"/>
          <w:bCs/>
          <w:szCs w:val="24"/>
        </w:rPr>
        <w:t>. sukladno Odluci o rasporedu rezultata za 20</w:t>
      </w:r>
      <w:r w:rsidR="00772ED8" w:rsidRPr="00772ED8">
        <w:rPr>
          <w:rFonts w:ascii="Times New Roman" w:hAnsi="Times New Roman"/>
          <w:bCs/>
          <w:szCs w:val="24"/>
        </w:rPr>
        <w:t>2</w:t>
      </w:r>
      <w:r w:rsidR="004A2829">
        <w:rPr>
          <w:rFonts w:ascii="Times New Roman" w:hAnsi="Times New Roman"/>
          <w:bCs/>
          <w:szCs w:val="24"/>
        </w:rPr>
        <w:t>3</w:t>
      </w:r>
      <w:r w:rsidR="00772ED8" w:rsidRPr="00772ED8">
        <w:rPr>
          <w:rFonts w:ascii="Times New Roman" w:hAnsi="Times New Roman"/>
          <w:bCs/>
          <w:szCs w:val="24"/>
        </w:rPr>
        <w:t>.godini.</w:t>
      </w:r>
    </w:p>
    <w:p w14:paraId="5ED96707" w14:textId="6F051A0F" w:rsidR="00981840" w:rsidRDefault="00981840">
      <w:pPr>
        <w:rPr>
          <w:rFonts w:ascii="Times New Roman" w:hAnsi="Times New Roman"/>
          <w:bCs/>
          <w:szCs w:val="24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603"/>
        <w:gridCol w:w="2078"/>
        <w:gridCol w:w="2381"/>
      </w:tblGrid>
      <w:tr w:rsidR="00B408A9" w:rsidRPr="00145322" w14:paraId="14D975B3" w14:textId="77777777" w:rsidTr="00B408A9">
        <w:trPr>
          <w:trHeight w:val="465"/>
        </w:trPr>
        <w:tc>
          <w:tcPr>
            <w:tcW w:w="4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684CBE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Oznaka</w:t>
            </w:r>
          </w:p>
        </w:tc>
        <w:tc>
          <w:tcPr>
            <w:tcW w:w="2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36F53" w14:textId="6EDC7F9C" w:rsidR="00B408A9" w:rsidRPr="00145322" w:rsidRDefault="00B408A9" w:rsidP="00145322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</w:t>
            </w: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lan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2024.</w:t>
            </w:r>
          </w:p>
        </w:tc>
        <w:tc>
          <w:tcPr>
            <w:tcW w:w="23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2A442" w14:textId="44F9F214" w:rsidR="00B408A9" w:rsidRPr="00145322" w:rsidRDefault="00B408A9" w:rsidP="00145322">
            <w:pPr>
              <w:spacing w:after="0" w:line="240" w:lineRule="auto"/>
              <w:ind w:firstLineChars="100" w:firstLine="220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Ostvarenje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2024.</w:t>
            </w:r>
          </w:p>
        </w:tc>
      </w:tr>
      <w:tr w:rsidR="00B408A9" w:rsidRPr="00145322" w14:paraId="20F1C885" w14:textId="77777777" w:rsidTr="00B408A9">
        <w:trPr>
          <w:trHeight w:val="240"/>
        </w:trPr>
        <w:tc>
          <w:tcPr>
            <w:tcW w:w="4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52060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SVEUKUPNO</w:t>
            </w:r>
          </w:p>
        </w:tc>
        <w:tc>
          <w:tcPr>
            <w:tcW w:w="2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20202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11.478,73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3EC2F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11.478,73</w:t>
            </w:r>
          </w:p>
        </w:tc>
      </w:tr>
      <w:tr w:rsidR="00B408A9" w:rsidRPr="00145322" w14:paraId="75B293DD" w14:textId="77777777" w:rsidTr="00B408A9">
        <w:trPr>
          <w:trHeight w:val="480"/>
        </w:trPr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649A4" w14:textId="77777777" w:rsidR="00B408A9" w:rsidRPr="00145322" w:rsidRDefault="00B408A9" w:rsidP="0014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Izvor: 383 Prenesena sredstva - vlastiti prihodi proračunskih korisnika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7887A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249,45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BA428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249,45</w:t>
            </w:r>
          </w:p>
        </w:tc>
      </w:tr>
      <w:tr w:rsidR="00B408A9" w:rsidRPr="00145322" w14:paraId="3D587316" w14:textId="77777777" w:rsidTr="00B408A9">
        <w:trPr>
          <w:trHeight w:val="240"/>
        </w:trPr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F80B1" w14:textId="77777777" w:rsidR="00B408A9" w:rsidRPr="00145322" w:rsidRDefault="00B408A9" w:rsidP="00145322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3 Rashodi poslovanja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D0BE3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249,45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DDBF4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249,45</w:t>
            </w:r>
          </w:p>
        </w:tc>
      </w:tr>
      <w:tr w:rsidR="00B408A9" w:rsidRPr="00145322" w14:paraId="631579FD" w14:textId="77777777" w:rsidTr="00B408A9">
        <w:trPr>
          <w:trHeight w:val="480"/>
        </w:trPr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3DA7A" w14:textId="77777777" w:rsidR="00B408A9" w:rsidRPr="00145322" w:rsidRDefault="00B408A9" w:rsidP="0014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Izvor: 582 Prenesena sredstva - pomoći - proračunski korisnici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8A69E6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9.706,00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D8216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9.706,00</w:t>
            </w:r>
          </w:p>
        </w:tc>
      </w:tr>
      <w:tr w:rsidR="00B408A9" w:rsidRPr="00145322" w14:paraId="71769137" w14:textId="77777777" w:rsidTr="00B408A9">
        <w:trPr>
          <w:trHeight w:val="240"/>
        </w:trPr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5BD18" w14:textId="7D00363C" w:rsidR="00B408A9" w:rsidRPr="00145322" w:rsidRDefault="00B408A9" w:rsidP="0014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           </w:t>
            </w: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3 Rashodi poslovanja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C5948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9.706,00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A032F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9.706,00</w:t>
            </w:r>
          </w:p>
        </w:tc>
      </w:tr>
      <w:tr w:rsidR="00B408A9" w:rsidRPr="00145322" w14:paraId="2C84E981" w14:textId="77777777" w:rsidTr="00B408A9">
        <w:trPr>
          <w:trHeight w:val="720"/>
        </w:trPr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DEC28" w14:textId="77777777" w:rsidR="00B408A9" w:rsidRPr="00145322" w:rsidRDefault="00B408A9" w:rsidP="0014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Izvor: 782 Prenesena sredstva - Prihodi od prodaje ili zamjene nefinancijske imovine i naknade štete s naslova osiguranja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8486F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1.523,28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F7E07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1.523,28</w:t>
            </w:r>
          </w:p>
        </w:tc>
      </w:tr>
      <w:tr w:rsidR="00B408A9" w:rsidRPr="00145322" w14:paraId="189A882E" w14:textId="77777777" w:rsidTr="00B408A9">
        <w:trPr>
          <w:trHeight w:val="240"/>
        </w:trPr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EC937" w14:textId="3DD6054E" w:rsidR="00B408A9" w:rsidRPr="00145322" w:rsidRDefault="00B408A9" w:rsidP="0014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           </w:t>
            </w: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3 Rashodi poslovanja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EC083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810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C38BC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810</w:t>
            </w:r>
          </w:p>
        </w:tc>
      </w:tr>
      <w:tr w:rsidR="00B408A9" w:rsidRPr="00145322" w14:paraId="227AF416" w14:textId="77777777" w:rsidTr="00B408A9">
        <w:trPr>
          <w:trHeight w:val="240"/>
        </w:trPr>
        <w:tc>
          <w:tcPr>
            <w:tcW w:w="4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70D72" w14:textId="027AACB7" w:rsidR="00B408A9" w:rsidRPr="00145322" w:rsidRDefault="00B408A9" w:rsidP="001453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          </w:t>
            </w: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4 Rashodi za nabavu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</w:t>
            </w: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nefinancijske imovine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65949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713,28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C104C" w14:textId="77777777" w:rsidR="00B408A9" w:rsidRPr="00145322" w:rsidRDefault="00B408A9" w:rsidP="00145322">
            <w:pPr>
              <w:spacing w:after="0" w:line="240" w:lineRule="auto"/>
              <w:ind w:firstLineChars="100" w:firstLine="220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145322">
              <w:rPr>
                <w:rFonts w:ascii="Times New Roman" w:eastAsia="Times New Roman" w:hAnsi="Times New Roman"/>
                <w:color w:val="000000"/>
                <w:lang w:eastAsia="hr-HR"/>
              </w:rPr>
              <w:t>713,28</w:t>
            </w:r>
          </w:p>
        </w:tc>
      </w:tr>
    </w:tbl>
    <w:p w14:paraId="27F320DC" w14:textId="77777777" w:rsidR="007F384E" w:rsidRPr="007F384E" w:rsidRDefault="007F384E">
      <w:pPr>
        <w:rPr>
          <w:rFonts w:ascii="Times New Roman" w:hAnsi="Times New Roman"/>
          <w:bCs/>
          <w:szCs w:val="24"/>
        </w:rPr>
      </w:pPr>
    </w:p>
    <w:p w14:paraId="4483614E" w14:textId="2F658953" w:rsidR="00981840" w:rsidRPr="00981840" w:rsidRDefault="003C66AD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II.</w:t>
      </w:r>
      <w:r w:rsidR="00981840" w:rsidRPr="00981840">
        <w:rPr>
          <w:rFonts w:ascii="Times New Roman" w:hAnsi="Times New Roman"/>
          <w:b/>
          <w:bCs/>
          <w:u w:val="single"/>
        </w:rPr>
        <w:t>POSEBNI DIO</w:t>
      </w:r>
    </w:p>
    <w:p w14:paraId="4E05BF2C" w14:textId="40BF3533" w:rsidR="00981840" w:rsidRDefault="00981840">
      <w:pPr>
        <w:rPr>
          <w:rFonts w:ascii="Times New Roman" w:hAnsi="Times New Roman"/>
        </w:rPr>
      </w:pPr>
      <w:r w:rsidRPr="00981840">
        <w:rPr>
          <w:rFonts w:ascii="Times New Roman" w:hAnsi="Times New Roman"/>
        </w:rPr>
        <w:t>Posebni dio polugodišnjeg i godišnjeg izvještaja o izvršenju financijskog plana proračunskog korisnika sadrži izvršenje rashoda i izdataka iskazanih po izvorima financiranja i ekonomskoj klasifikaciji, raspoređenih u programe koji se sastoje od aktivnosti i projekata</w:t>
      </w:r>
    </w:p>
    <w:p w14:paraId="75D6A87E" w14:textId="77777777" w:rsidR="00981840" w:rsidRPr="00981840" w:rsidRDefault="00981840" w:rsidP="0098184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184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Programsko izvješće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3"/>
        <w:gridCol w:w="1392"/>
        <w:gridCol w:w="1827"/>
      </w:tblGrid>
      <w:tr w:rsidR="00C71C14" w:rsidRPr="009D79BD" w14:paraId="10891B4A" w14:textId="77777777" w:rsidTr="00981840">
        <w:trPr>
          <w:trHeight w:val="7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DE49" w14:textId="77777777" w:rsidR="00C71C14" w:rsidRPr="00981840" w:rsidRDefault="00C71C14" w:rsidP="00981840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Opis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2D16" w14:textId="63DAF2B9" w:rsidR="00C71C14" w:rsidRPr="00981840" w:rsidRDefault="00C71C14" w:rsidP="00981840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D79BD">
              <w:rPr>
                <w:rFonts w:ascii="Times New Roman" w:eastAsia="Times New Roman" w:hAnsi="Times New Roman"/>
                <w:lang w:eastAsia="hr-HR"/>
              </w:rPr>
              <w:t>Plan 202</w:t>
            </w:r>
            <w:r w:rsidR="004A2829">
              <w:rPr>
                <w:rFonts w:ascii="Times New Roman" w:eastAsia="Times New Roman" w:hAnsi="Times New Roman"/>
                <w:lang w:eastAsia="hr-HR"/>
              </w:rPr>
              <w:t>4</w:t>
            </w:r>
            <w:r w:rsidRPr="009D79BD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9FC84" w14:textId="1B8B805E" w:rsidR="00C71C14" w:rsidRPr="00981840" w:rsidRDefault="00C71C14" w:rsidP="00981840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Ostvarenje </w:t>
            </w:r>
            <w:r w:rsidRPr="009D79BD">
              <w:rPr>
                <w:rFonts w:ascii="Times New Roman" w:eastAsia="Times New Roman" w:hAnsi="Times New Roman"/>
                <w:color w:val="000000"/>
                <w:lang w:eastAsia="hr-HR"/>
              </w:rPr>
              <w:t>202</w:t>
            </w:r>
            <w:r w:rsidR="004A2829">
              <w:rPr>
                <w:rFonts w:ascii="Times New Roman" w:eastAsia="Times New Roman" w:hAnsi="Times New Roman"/>
                <w:color w:val="000000"/>
                <w:lang w:eastAsia="hr-HR"/>
              </w:rPr>
              <w:t>4</w:t>
            </w:r>
            <w:r w:rsidRPr="009D79BD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</w:tr>
      <w:tr w:rsidR="0082425E" w:rsidRPr="009D79BD" w14:paraId="472C6D77" w14:textId="77777777" w:rsidTr="00981840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6856" w14:textId="6DAB9BCA" w:rsidR="0082425E" w:rsidRDefault="0082425E" w:rsidP="000D04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Program 5301 Osnovnoškolsko obrazovanje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A1B5" w14:textId="77777777" w:rsidR="0082425E" w:rsidRDefault="0082425E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56FA" w14:textId="77777777" w:rsidR="0082425E" w:rsidRDefault="0082425E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C71C14" w:rsidRPr="009D79BD" w14:paraId="77F5F5FB" w14:textId="77777777" w:rsidTr="00981840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6ACB" w14:textId="21428244" w:rsidR="00C71C14" w:rsidRPr="00981840" w:rsidRDefault="0082425E" w:rsidP="000D04EB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</w:t>
            </w:r>
            <w:r w:rsidR="00C71C14"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530101 Osiguravanje uvjeta 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6FAF" w14:textId="53AFB9A5" w:rsidR="00C71C14" w:rsidRPr="00981840" w:rsidRDefault="0082425E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1.883.009,45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68EC" w14:textId="0ACDD697" w:rsidR="00C71C14" w:rsidRPr="00981840" w:rsidRDefault="00C71C14" w:rsidP="009D79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</w:t>
            </w:r>
            <w:r w:rsidR="0082425E">
              <w:rPr>
                <w:rFonts w:ascii="Times New Roman" w:eastAsia="Times New Roman" w:hAnsi="Times New Roman"/>
                <w:color w:val="000000"/>
                <w:lang w:eastAsia="hr-HR"/>
              </w:rPr>
              <w:t>693.354,18</w:t>
            </w:r>
          </w:p>
        </w:tc>
      </w:tr>
      <w:tr w:rsidR="00C71C14" w:rsidRPr="009D79BD" w14:paraId="2D5AEDCB" w14:textId="77777777" w:rsidTr="00981840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29131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530106 Nabava udžbenika za učenike 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BEE7D" w14:textId="0D2F5F3B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  <w:r w:rsidR="0082425E">
              <w:rPr>
                <w:rFonts w:ascii="Times New Roman" w:eastAsia="Times New Roman" w:hAnsi="Times New Roman"/>
                <w:color w:val="000000"/>
                <w:lang w:eastAsia="hr-HR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A1817" w14:textId="22D13008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8.257,59</w:t>
            </w:r>
          </w:p>
        </w:tc>
      </w:tr>
      <w:tr w:rsidR="00C71C14" w:rsidRPr="009D79BD" w14:paraId="73877369" w14:textId="77777777" w:rsidTr="00981840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155F9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530107 Prehrana za učenike u osnovnim školama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FD39" w14:textId="3E7F5848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40.000</w:t>
            </w:r>
            <w:r w:rsidR="00C71C14">
              <w:rPr>
                <w:rFonts w:ascii="Times New Roman" w:eastAsia="Times New Roman" w:hAnsi="Times New Roman"/>
                <w:color w:val="000000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5E178" w14:textId="0C560AAF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33.770,23</w:t>
            </w:r>
          </w:p>
        </w:tc>
      </w:tr>
      <w:tr w:rsidR="00C71C14" w:rsidRPr="009D79BD" w14:paraId="1726C525" w14:textId="77777777" w:rsidTr="00981840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738A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Program: 5302 Unapređenje kvalitete odgojno obrazovnog sustava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D1BD3" w14:textId="2FC96B67" w:rsidR="00C71C14" w:rsidRPr="00981840" w:rsidRDefault="00C71C14" w:rsidP="004A5267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D681" w14:textId="5D2A18E5" w:rsidR="00C71C14" w:rsidRPr="00981840" w:rsidRDefault="00C71C14" w:rsidP="004A5267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71C14" w:rsidRPr="009D79BD" w14:paraId="37DD27F0" w14:textId="77777777" w:rsidTr="00981840">
        <w:trPr>
          <w:trHeight w:val="6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D7324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530209 Sufinanciranje rada pomoćnika u nastavi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76717" w14:textId="11F64533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19.206,30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46114" w14:textId="367C978A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24.732,77</w:t>
            </w:r>
          </w:p>
        </w:tc>
      </w:tr>
      <w:tr w:rsidR="00C71C14" w:rsidRPr="009D79BD" w14:paraId="0C3E996E" w14:textId="77777777" w:rsidTr="00981840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FCB4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530222 Programi školskog kurikuluma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5263" w14:textId="4D4766B4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11.890,00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337A" w14:textId="57BADF40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13.530,73</w:t>
            </w:r>
          </w:p>
        </w:tc>
      </w:tr>
      <w:tr w:rsidR="00C71C14" w:rsidRPr="009D79BD" w14:paraId="3FB6EF57" w14:textId="77777777" w:rsidTr="00981840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23EA9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A 530239 Županijska škola plivanja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5FEF0" w14:textId="760D00CB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2.274,00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EA0AE" w14:textId="2297D875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2.274</w:t>
            </w:r>
            <w:r w:rsidR="00C71C14">
              <w:rPr>
                <w:rFonts w:ascii="Times New Roman" w:eastAsia="Times New Roman" w:hAnsi="Times New Roman"/>
                <w:color w:val="000000"/>
                <w:lang w:eastAsia="hr-HR"/>
              </w:rPr>
              <w:t>,00</w:t>
            </w:r>
          </w:p>
        </w:tc>
      </w:tr>
      <w:tr w:rsidR="00C71C14" w:rsidRPr="009D79BD" w14:paraId="1E1AD597" w14:textId="77777777" w:rsidTr="00981840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C0AC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530240 Osiguranje besplatnih zaliha menstrualnih higijenskih potrepština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5FC86" w14:textId="522DFF93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5CD8A" w14:textId="3CAB3FB3" w:rsidR="00C71C14" w:rsidRPr="00981840" w:rsidRDefault="0082425E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402,39</w:t>
            </w:r>
          </w:p>
        </w:tc>
      </w:tr>
      <w:tr w:rsidR="00C71C14" w:rsidRPr="009D79BD" w14:paraId="1AAED722" w14:textId="77777777" w:rsidTr="00981840">
        <w:trPr>
          <w:trHeight w:val="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CD03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Program: 5306 Obilježavanje postignuća učenika i nastavnika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6311" w14:textId="5117F555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64B2" w14:textId="53D83DF7" w:rsidR="00C71C14" w:rsidRPr="00981840" w:rsidRDefault="00C71C14" w:rsidP="0082425E">
            <w:pPr>
              <w:spacing w:after="0" w:line="240" w:lineRule="auto"/>
              <w:ind w:firstLine="240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71C14" w:rsidRPr="009D79BD" w14:paraId="06CE67E5" w14:textId="77777777" w:rsidTr="00981840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FE5B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A 530604 Natjecanja i smotre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2F00" w14:textId="5E9A642F" w:rsidR="00C71C14" w:rsidRPr="00981840" w:rsidRDefault="00C71C14" w:rsidP="00CA783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93,50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37A5" w14:textId="43B8C168" w:rsidR="00C71C14" w:rsidRPr="00981840" w:rsidRDefault="00C71C14" w:rsidP="00CA783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146,60</w:t>
            </w:r>
          </w:p>
        </w:tc>
      </w:tr>
      <w:tr w:rsidR="00C71C14" w:rsidRPr="009D79BD" w14:paraId="30D7E99D" w14:textId="77777777" w:rsidTr="00981840">
        <w:trPr>
          <w:trHeight w:val="6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48373" w14:textId="77777777" w:rsidR="00C71C14" w:rsidRPr="00981840" w:rsidRDefault="00C71C14" w:rsidP="000D04EB">
            <w:pPr>
              <w:spacing w:after="0" w:line="240" w:lineRule="auto"/>
              <w:ind w:firstLine="24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Program: 5308 Kapitalna ulaganja u odgojno obrazovnu infrastrukturu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AC46" w14:textId="29CE04C6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F5FB7" w14:textId="5F99E3D0" w:rsidR="00C71C14" w:rsidRPr="00981840" w:rsidRDefault="00C71C14" w:rsidP="009D79BD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C71C14" w:rsidRPr="009D79BD" w14:paraId="5A483DDD" w14:textId="77777777" w:rsidTr="00981840">
        <w:trPr>
          <w:trHeight w:val="4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08B8" w14:textId="77777777" w:rsidR="00C71C14" w:rsidRPr="00981840" w:rsidRDefault="00C71C14" w:rsidP="000D04EB">
            <w:pPr>
              <w:spacing w:after="0" w:line="240" w:lineRule="auto"/>
              <w:ind w:firstLine="480"/>
              <w:rPr>
                <w:rFonts w:ascii="Times New Roman" w:eastAsia="Times New Roman" w:hAnsi="Times New Roman"/>
                <w:lang w:eastAsia="hr-HR"/>
              </w:rPr>
            </w:pPr>
            <w:r w:rsidRPr="00981840">
              <w:rPr>
                <w:rFonts w:ascii="Times New Roman" w:eastAsia="Times New Roman" w:hAnsi="Times New Roman"/>
                <w:color w:val="000000"/>
                <w:lang w:eastAsia="hr-HR"/>
              </w:rPr>
              <w:t>K 530801 Opremanje ustanova školstva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D4198" w14:textId="0470BF27" w:rsidR="00C71C14" w:rsidRPr="00981840" w:rsidRDefault="0082425E" w:rsidP="00CC6103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96.665,28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1278" w14:textId="479A1A26" w:rsidR="00C71C14" w:rsidRPr="00981840" w:rsidRDefault="0082425E" w:rsidP="00CC6103">
            <w:pPr>
              <w:spacing w:after="0" w:line="240" w:lineRule="auto"/>
              <w:ind w:firstLine="240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64.493,53</w:t>
            </w:r>
          </w:p>
        </w:tc>
      </w:tr>
    </w:tbl>
    <w:p w14:paraId="0268C55D" w14:textId="2C0580D5" w:rsidR="00981840" w:rsidRDefault="00981840">
      <w:pPr>
        <w:rPr>
          <w:rFonts w:ascii="Times New Roman" w:hAnsi="Times New Roman"/>
        </w:rPr>
      </w:pPr>
    </w:p>
    <w:p w14:paraId="54821B7D" w14:textId="190EDC1A" w:rsidR="0082425E" w:rsidRDefault="00A614E6">
      <w:pPr>
        <w:rPr>
          <w:rFonts w:ascii="Times New Roman" w:hAnsi="Times New Roman"/>
        </w:rPr>
      </w:pPr>
      <w:r>
        <w:rPr>
          <w:rFonts w:ascii="Times New Roman" w:hAnsi="Times New Roman"/>
        </w:rPr>
        <w:t>Program osiguravanje uvjeta rada manje je ostvaren za 10,07% od plana za 2024. u najvećem dijelu zbog planiranih  rashoda za prijevoz učenika koji plaća direktno PGŽ i Škola ga ne evidentira u svojim poslovnim knjigama u iznosu 77.491,91 eura. Ovaj program podrazumijeva sve materijalne troškove i troškove zaposlenih prikazanih po izvorima u posebnom dijelu izvještaja o izvršenju.</w:t>
      </w:r>
    </w:p>
    <w:p w14:paraId="6A1E82BF" w14:textId="2274E488" w:rsidR="00A614E6" w:rsidRDefault="00A614E6">
      <w:pPr>
        <w:rPr>
          <w:rFonts w:ascii="Times New Roman" w:hAnsi="Times New Roman"/>
        </w:rPr>
      </w:pPr>
      <w:r>
        <w:rPr>
          <w:rFonts w:ascii="Times New Roman" w:hAnsi="Times New Roman"/>
        </w:rPr>
        <w:t>Program nabave udžbenika nešto je više kupljenih trajnih udžbenika u odnosu na plan i to 10,10% zbog više dotrajalih i neupotrebljivih udžbenika korištenih ranijih godina.</w:t>
      </w:r>
    </w:p>
    <w:p w14:paraId="3EF4E6BD" w14:textId="77777777" w:rsidR="009F72AA" w:rsidRDefault="00A614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Prehrana učenika planirana je u nešto većem iznosu zbog najave većih cijena namirnica. Zbog </w:t>
      </w:r>
      <w:r w:rsidR="009F72AA">
        <w:rPr>
          <w:rFonts w:ascii="Times New Roman" w:hAnsi="Times New Roman"/>
        </w:rPr>
        <w:t>velikih oscilaciju u cijenama teško je precizno planirati iznose potrebne za nabavku namirnica.</w:t>
      </w:r>
    </w:p>
    <w:p w14:paraId="4A28F067" w14:textId="472C197C" w:rsidR="009F72AA" w:rsidRDefault="009F72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Sufinanciranje rada PUN ostvareno je u većem iznosu od planiranog za 28,77 % radi zapošljavanja još dva pomoćnika u nastavi u prvom polugodištu </w:t>
      </w:r>
      <w:proofErr w:type="spellStart"/>
      <w:r>
        <w:rPr>
          <w:rFonts w:ascii="Times New Roman" w:hAnsi="Times New Roman"/>
        </w:rPr>
        <w:t>šk.g</w:t>
      </w:r>
      <w:proofErr w:type="spellEnd"/>
      <w:r>
        <w:rPr>
          <w:rFonts w:ascii="Times New Roman" w:hAnsi="Times New Roman"/>
        </w:rPr>
        <w:t>. 2024/2025.</w:t>
      </w:r>
    </w:p>
    <w:p w14:paraId="15B76103" w14:textId="15049513" w:rsidR="002604E4" w:rsidRDefault="009F72AA">
      <w:pPr>
        <w:rPr>
          <w:rFonts w:ascii="Times New Roman" w:hAnsi="Times New Roman"/>
        </w:rPr>
      </w:pPr>
      <w:r>
        <w:rPr>
          <w:rFonts w:ascii="Times New Roman" w:hAnsi="Times New Roman"/>
        </w:rPr>
        <w:t>Pr</w:t>
      </w:r>
      <w:r w:rsidR="002604E4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grami šk. </w:t>
      </w:r>
      <w:r w:rsidR="002604E4">
        <w:rPr>
          <w:rFonts w:ascii="Times New Roman" w:hAnsi="Times New Roman"/>
        </w:rPr>
        <w:t>k</w:t>
      </w:r>
      <w:r>
        <w:rPr>
          <w:rFonts w:ascii="Times New Roman" w:hAnsi="Times New Roman"/>
        </w:rPr>
        <w:t>urikuluma</w:t>
      </w:r>
      <w:r w:rsidR="002604E4">
        <w:rPr>
          <w:rFonts w:ascii="Times New Roman" w:hAnsi="Times New Roman"/>
        </w:rPr>
        <w:t xml:space="preserve"> realizirani su 13,80 % više od plana  zbog više realiziranih zbog viših cijena usluga prijevoza učenika na terenske nastave od planiranih rashode za tu namjenu.</w:t>
      </w:r>
    </w:p>
    <w:p w14:paraId="7BAB0422" w14:textId="6BD7C85A" w:rsidR="002604E4" w:rsidRDefault="002604E4">
      <w:pPr>
        <w:rPr>
          <w:rFonts w:ascii="Times New Roman" w:hAnsi="Times New Roman"/>
        </w:rPr>
      </w:pPr>
      <w:r>
        <w:rPr>
          <w:rFonts w:ascii="Times New Roman" w:hAnsi="Times New Roman"/>
        </w:rPr>
        <w:t>Opremanje ustanova školstva – realizirano je nešto manje nabava dugotrajne imovine za potrebe Škole radi već spomenutih postupaka jednostavne javne nabave koji imaju svoju proceduru, pa će nabave bit realizirane u narednom  razdoblju.</w:t>
      </w:r>
    </w:p>
    <w:p w14:paraId="20547C84" w14:textId="77777777" w:rsidR="002604E4" w:rsidRDefault="002604E4">
      <w:pPr>
        <w:rPr>
          <w:rFonts w:ascii="Times New Roman" w:hAnsi="Times New Roman"/>
        </w:rPr>
      </w:pPr>
    </w:p>
    <w:p w14:paraId="2D64A9AC" w14:textId="77777777" w:rsidR="009F72AA" w:rsidRDefault="009F72AA">
      <w:pPr>
        <w:rPr>
          <w:rFonts w:ascii="Times New Roman" w:hAnsi="Times New Roman"/>
        </w:rPr>
      </w:pPr>
    </w:p>
    <w:p w14:paraId="3D5C0D98" w14:textId="77777777" w:rsidR="009F72AA" w:rsidRDefault="009F72AA">
      <w:pPr>
        <w:rPr>
          <w:rFonts w:ascii="Times New Roman" w:hAnsi="Times New Roman"/>
        </w:rPr>
      </w:pPr>
    </w:p>
    <w:p w14:paraId="18105440" w14:textId="77777777" w:rsidR="009F72AA" w:rsidRDefault="009F72AA">
      <w:pPr>
        <w:rPr>
          <w:rFonts w:ascii="Times New Roman" w:hAnsi="Times New Roman"/>
        </w:rPr>
      </w:pPr>
    </w:p>
    <w:p w14:paraId="63B9BD36" w14:textId="77777777" w:rsidR="009F72AA" w:rsidRDefault="009F72AA">
      <w:pPr>
        <w:rPr>
          <w:rFonts w:ascii="Times New Roman" w:hAnsi="Times New Roman"/>
        </w:rPr>
      </w:pPr>
    </w:p>
    <w:p w14:paraId="7E4E6721" w14:textId="77777777" w:rsidR="009F72AA" w:rsidRDefault="009F72AA">
      <w:pPr>
        <w:rPr>
          <w:rFonts w:ascii="Times New Roman" w:hAnsi="Times New Roman"/>
        </w:rPr>
      </w:pPr>
    </w:p>
    <w:p w14:paraId="7FF6DFCA" w14:textId="77777777" w:rsidR="009F72AA" w:rsidRDefault="009F72AA">
      <w:pPr>
        <w:rPr>
          <w:rFonts w:ascii="Times New Roman" w:hAnsi="Times New Roman"/>
        </w:rPr>
      </w:pPr>
    </w:p>
    <w:p w14:paraId="02DF10D3" w14:textId="77777777" w:rsidR="009F72AA" w:rsidRDefault="009F72AA">
      <w:pPr>
        <w:rPr>
          <w:rFonts w:ascii="Times New Roman" w:hAnsi="Times New Roman"/>
        </w:rPr>
      </w:pPr>
    </w:p>
    <w:p w14:paraId="49891ED9" w14:textId="77777777" w:rsidR="007F384E" w:rsidRPr="007F384E" w:rsidRDefault="007F384E" w:rsidP="00772ED8">
      <w:pPr>
        <w:rPr>
          <w:rFonts w:ascii="Times New Roman" w:hAnsi="Times New Roman"/>
          <w:b/>
          <w:bCs/>
        </w:rPr>
      </w:pPr>
    </w:p>
    <w:p w14:paraId="47C0445C" w14:textId="5AF94F5D" w:rsidR="002604E4" w:rsidRPr="002604E4" w:rsidRDefault="007F384E" w:rsidP="002604E4">
      <w:pPr>
        <w:rPr>
          <w:rFonts w:ascii="Times New Roman" w:hAnsi="Times New Roman"/>
          <w:b/>
          <w:bCs/>
        </w:rPr>
      </w:pPr>
      <w:r w:rsidRPr="007F384E">
        <w:rPr>
          <w:rFonts w:ascii="Times New Roman" w:hAnsi="Times New Roman"/>
          <w:b/>
          <w:bCs/>
        </w:rPr>
        <w:lastRenderedPageBreak/>
        <w:t xml:space="preserve">III. </w:t>
      </w:r>
      <w:r w:rsidR="00FB4A8F" w:rsidRPr="007F384E">
        <w:rPr>
          <w:rFonts w:ascii="Times New Roman" w:hAnsi="Times New Roman"/>
          <w:b/>
          <w:bCs/>
        </w:rPr>
        <w:t>POSEBNI IZVJEŠTAJI U GODIŠNJEM IZVRŠENJU FINANCIJSKOG PLANA</w:t>
      </w:r>
    </w:p>
    <w:p w14:paraId="5B439DBF" w14:textId="77777777" w:rsidR="002604E4" w:rsidRPr="002604E4" w:rsidRDefault="002604E4" w:rsidP="002604E4">
      <w:pPr>
        <w:rPr>
          <w:rFonts w:ascii="Times New Roman" w:hAnsi="Times New Roman"/>
          <w:b/>
          <w:bCs/>
          <w:u w:val="single"/>
        </w:rPr>
      </w:pPr>
    </w:p>
    <w:p w14:paraId="360B58C3" w14:textId="2966792E" w:rsidR="002604E4" w:rsidRPr="002604E4" w:rsidRDefault="002604E4" w:rsidP="002604E4">
      <w:pPr>
        <w:rPr>
          <w:rFonts w:ascii="Times New Roman" w:hAnsi="Times New Roman"/>
          <w:b/>
          <w:bCs/>
          <w:u w:val="single"/>
        </w:rPr>
      </w:pPr>
      <w:r w:rsidRPr="002604E4">
        <w:rPr>
          <w:rFonts w:ascii="Times New Roman" w:hAnsi="Times New Roman"/>
          <w:b/>
          <w:bCs/>
          <w:u w:val="single"/>
        </w:rPr>
        <w:t>Podaci o stanju novčanih sredstava na računu škole na početku i kraju proračunske godine: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9"/>
        <w:gridCol w:w="2129"/>
      </w:tblGrid>
      <w:tr w:rsidR="002604E4" w14:paraId="12C18C0B" w14:textId="77777777" w:rsidTr="00AD5437">
        <w:tc>
          <w:tcPr>
            <w:tcW w:w="0" w:type="auto"/>
          </w:tcPr>
          <w:p w14:paraId="6C58F46C" w14:textId="56B44166" w:rsidR="002604E4" w:rsidRDefault="002604E4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na 01.01.202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</w:tcPr>
          <w:p w14:paraId="2BA5CD4B" w14:textId="4722CF6F" w:rsidR="002604E4" w:rsidRDefault="002604E4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na 31.12.202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2604E4" w14:paraId="048F5116" w14:textId="77777777" w:rsidTr="00AD5437">
        <w:tc>
          <w:tcPr>
            <w:tcW w:w="0" w:type="auto"/>
          </w:tcPr>
          <w:p w14:paraId="262634A6" w14:textId="3BFAE6E8" w:rsidR="002604E4" w:rsidRDefault="001D3130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63.363,99 </w:t>
            </w:r>
            <w:r w:rsidR="002604E4">
              <w:rPr>
                <w:rFonts w:ascii="Times New Roman" w:hAnsi="Times New Roman"/>
              </w:rPr>
              <w:t>eura</w:t>
            </w:r>
          </w:p>
        </w:tc>
        <w:tc>
          <w:tcPr>
            <w:tcW w:w="0" w:type="auto"/>
          </w:tcPr>
          <w:p w14:paraId="22BE960E" w14:textId="6C907A2F" w:rsidR="002604E4" w:rsidRDefault="001D3130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170.689,66</w:t>
            </w:r>
            <w:r w:rsidR="002604E4">
              <w:rPr>
                <w:rFonts w:ascii="Times New Roman" w:hAnsi="Times New Roman"/>
              </w:rPr>
              <w:t xml:space="preserve"> eura</w:t>
            </w:r>
          </w:p>
        </w:tc>
      </w:tr>
    </w:tbl>
    <w:p w14:paraId="654B2ACB" w14:textId="77777777" w:rsidR="007F384E" w:rsidRPr="007F384E" w:rsidRDefault="007F384E" w:rsidP="00772ED8">
      <w:pPr>
        <w:rPr>
          <w:rFonts w:ascii="Times New Roman" w:hAnsi="Times New Roman"/>
          <w:b/>
          <w:bCs/>
        </w:rPr>
      </w:pPr>
    </w:p>
    <w:p w14:paraId="4421E004" w14:textId="1D7CACC5" w:rsidR="007F384E" w:rsidRPr="007F384E" w:rsidRDefault="00FB4A8F" w:rsidP="00772ED8">
      <w:pPr>
        <w:rPr>
          <w:rFonts w:ascii="Times New Roman" w:hAnsi="Times New Roman"/>
          <w:b/>
          <w:bCs/>
          <w:u w:val="single"/>
        </w:rPr>
      </w:pPr>
      <w:r w:rsidRPr="007F384E">
        <w:rPr>
          <w:rFonts w:ascii="Times New Roman" w:hAnsi="Times New Roman"/>
          <w:b/>
          <w:bCs/>
          <w:u w:val="single"/>
        </w:rPr>
        <w:t>Izvještaj o stanju potraživanja i dospjelih obveza, te o stanju potencijalnih obveza po osnovi sudskih sporova</w:t>
      </w:r>
    </w:p>
    <w:p w14:paraId="2A6F7EE9" w14:textId="71E4845D" w:rsidR="00FB4A8F" w:rsidRDefault="00FB4A8F" w:rsidP="00772ED8">
      <w:pPr>
        <w:rPr>
          <w:rFonts w:ascii="Times New Roman" w:hAnsi="Times New Roman"/>
        </w:rPr>
      </w:pPr>
      <w:r>
        <w:rPr>
          <w:rFonts w:ascii="Times New Roman" w:hAnsi="Times New Roman"/>
        </w:rPr>
        <w:t>OŠ Ivana Gorana Kovačića na dan 31.12.202</w:t>
      </w:r>
      <w:r w:rsidR="001D3130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godine nema potencijalnih obveza po osnovi sudskih sporova. </w:t>
      </w:r>
    </w:p>
    <w:p w14:paraId="0062652B" w14:textId="4D17813D" w:rsidR="007F384E" w:rsidRDefault="007F384E" w:rsidP="00772E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Stanje </w:t>
      </w:r>
      <w:r w:rsidR="00934519">
        <w:rPr>
          <w:rFonts w:ascii="Times New Roman" w:hAnsi="Times New Roman"/>
        </w:rPr>
        <w:t xml:space="preserve">nenaplaćenih </w:t>
      </w:r>
      <w:r>
        <w:rPr>
          <w:rFonts w:ascii="Times New Roman" w:hAnsi="Times New Roman"/>
        </w:rPr>
        <w:t>potraživanja na dan 31.12.202</w:t>
      </w:r>
      <w:r w:rsidR="001D3130">
        <w:rPr>
          <w:rFonts w:ascii="Times New Roman" w:hAnsi="Times New Roman"/>
        </w:rPr>
        <w:t>4.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3130" w14:paraId="3831F977" w14:textId="77777777" w:rsidTr="001D3130">
        <w:tc>
          <w:tcPr>
            <w:tcW w:w="3020" w:type="dxa"/>
          </w:tcPr>
          <w:p w14:paraId="1D6A762D" w14:textId="35551EDC" w:rsidR="001D3130" w:rsidRDefault="001D3130" w:rsidP="0077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Potraživanja na dan 31.12.2024.</w:t>
            </w:r>
          </w:p>
        </w:tc>
        <w:tc>
          <w:tcPr>
            <w:tcW w:w="3021" w:type="dxa"/>
          </w:tcPr>
          <w:p w14:paraId="18446D59" w14:textId="0A59BAE2" w:rsidR="001D3130" w:rsidRDefault="001D3130" w:rsidP="0077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Nedospjela potraživanja</w:t>
            </w:r>
          </w:p>
        </w:tc>
        <w:tc>
          <w:tcPr>
            <w:tcW w:w="3021" w:type="dxa"/>
          </w:tcPr>
          <w:p w14:paraId="1423B05F" w14:textId="100B4CB6" w:rsidR="001D3130" w:rsidRDefault="001D3130" w:rsidP="0077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Dospjela potraživanja</w:t>
            </w:r>
          </w:p>
        </w:tc>
      </w:tr>
      <w:tr w:rsidR="001D3130" w14:paraId="15EBE095" w14:textId="77777777" w:rsidTr="001D3130">
        <w:tc>
          <w:tcPr>
            <w:tcW w:w="3020" w:type="dxa"/>
          </w:tcPr>
          <w:p w14:paraId="703C129C" w14:textId="4A6EE42D" w:rsidR="001D3130" w:rsidRDefault="001D3130" w:rsidP="0077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Ukupno:</w:t>
            </w:r>
          </w:p>
        </w:tc>
        <w:tc>
          <w:tcPr>
            <w:tcW w:w="3021" w:type="dxa"/>
          </w:tcPr>
          <w:p w14:paraId="4BA2D658" w14:textId="79F7508F" w:rsidR="001D3130" w:rsidRDefault="001D3130" w:rsidP="0077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1.071,05</w:t>
            </w:r>
            <w:r w:rsidR="00934519">
              <w:rPr>
                <w:rFonts w:ascii="Times New Roman" w:hAnsi="Times New Roman"/>
              </w:rPr>
              <w:t xml:space="preserve"> eura</w:t>
            </w:r>
          </w:p>
        </w:tc>
        <w:tc>
          <w:tcPr>
            <w:tcW w:w="3021" w:type="dxa"/>
          </w:tcPr>
          <w:p w14:paraId="4105C88F" w14:textId="0CBAD58C" w:rsidR="001D3130" w:rsidRDefault="001D3130" w:rsidP="00772E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r w:rsidR="00934519">
              <w:rPr>
                <w:rFonts w:ascii="Times New Roman" w:hAnsi="Times New Roman"/>
              </w:rPr>
              <w:t xml:space="preserve"> eura</w:t>
            </w:r>
          </w:p>
        </w:tc>
      </w:tr>
    </w:tbl>
    <w:p w14:paraId="31678A04" w14:textId="77777777" w:rsidR="001D3130" w:rsidRDefault="001D3130" w:rsidP="00772ED8">
      <w:pPr>
        <w:rPr>
          <w:rFonts w:ascii="Times New Roman" w:hAnsi="Times New Roman"/>
        </w:rPr>
      </w:pPr>
    </w:p>
    <w:p w14:paraId="01716E8F" w14:textId="19C5EA10" w:rsidR="001D3130" w:rsidRPr="00934519" w:rsidRDefault="007F384E" w:rsidP="00934519">
      <w:pPr>
        <w:tabs>
          <w:tab w:val="left" w:pos="390"/>
        </w:tabs>
        <w:jc w:val="both"/>
        <w:rPr>
          <w:rFonts w:ascii="Times New Roman" w:hAnsi="Times New Roman"/>
          <w:bCs/>
        </w:rPr>
      </w:pPr>
      <w:r w:rsidRPr="007F384E">
        <w:rPr>
          <w:rFonts w:ascii="Times New Roman" w:hAnsi="Times New Roman"/>
          <w:bCs/>
        </w:rPr>
        <w:t xml:space="preserve">Ukupna </w:t>
      </w:r>
      <w:r w:rsidR="001D3130">
        <w:rPr>
          <w:rFonts w:ascii="Times New Roman" w:hAnsi="Times New Roman"/>
          <w:bCs/>
        </w:rPr>
        <w:t>nedospjela</w:t>
      </w:r>
      <w:r w:rsidRPr="007F384E">
        <w:rPr>
          <w:rFonts w:ascii="Times New Roman" w:hAnsi="Times New Roman"/>
          <w:bCs/>
        </w:rPr>
        <w:t xml:space="preserve"> potraživanja odnose se na potraživanja za refundaciju režijskih troškova za prosinac 202</w:t>
      </w:r>
      <w:r w:rsidR="001D3130">
        <w:rPr>
          <w:rFonts w:ascii="Times New Roman" w:hAnsi="Times New Roman"/>
          <w:bCs/>
        </w:rPr>
        <w:t>4</w:t>
      </w:r>
      <w:r w:rsidRPr="007F384E">
        <w:rPr>
          <w:rFonts w:ascii="Times New Roman" w:hAnsi="Times New Roman"/>
          <w:bCs/>
        </w:rPr>
        <w:t>. od grada Vrbovskog i Dječjeg vrtića Bambi</w:t>
      </w:r>
      <w:r w:rsidR="001D3130">
        <w:rPr>
          <w:rFonts w:ascii="Times New Roman" w:hAnsi="Times New Roman"/>
          <w:bCs/>
        </w:rPr>
        <w:t xml:space="preserve"> u iznosu 306,25 eura, </w:t>
      </w:r>
      <w:r w:rsidRPr="007F384E">
        <w:rPr>
          <w:rFonts w:ascii="Times New Roman" w:hAnsi="Times New Roman"/>
          <w:bCs/>
        </w:rPr>
        <w:t>potraživanja za bolovanje na teret HZZO</w:t>
      </w:r>
      <w:r>
        <w:rPr>
          <w:rFonts w:ascii="Times New Roman" w:hAnsi="Times New Roman"/>
          <w:bCs/>
        </w:rPr>
        <w:t xml:space="preserve"> u iznosu od </w:t>
      </w:r>
      <w:r w:rsidR="001D3130">
        <w:rPr>
          <w:rFonts w:ascii="Times New Roman" w:hAnsi="Times New Roman"/>
          <w:bCs/>
        </w:rPr>
        <w:t>361,99</w:t>
      </w:r>
      <w:r>
        <w:rPr>
          <w:rFonts w:ascii="Times New Roman" w:hAnsi="Times New Roman"/>
          <w:bCs/>
        </w:rPr>
        <w:t xml:space="preserve"> eu</w:t>
      </w:r>
      <w:r w:rsidR="001D3130">
        <w:rPr>
          <w:rFonts w:ascii="Times New Roman" w:hAnsi="Times New Roman"/>
          <w:bCs/>
        </w:rPr>
        <w:t>ra, te na</w:t>
      </w:r>
      <w:r w:rsidRPr="007F384E">
        <w:rPr>
          <w:rFonts w:ascii="Times New Roman" w:hAnsi="Times New Roman"/>
          <w:bCs/>
        </w:rPr>
        <w:t xml:space="preserve"> potraživanja za prihode od prodaje stanova na kojima je postojalo stanarsko pravo usklađena su sa knjigovodstvenim stanjem na dan 31.12.202</w:t>
      </w:r>
      <w:r w:rsidR="001D3130">
        <w:rPr>
          <w:rFonts w:ascii="Times New Roman" w:hAnsi="Times New Roman"/>
          <w:bCs/>
        </w:rPr>
        <w:t>4</w:t>
      </w:r>
      <w:r w:rsidRPr="007F384E">
        <w:rPr>
          <w:rFonts w:ascii="Times New Roman" w:hAnsi="Times New Roman"/>
          <w:bCs/>
        </w:rPr>
        <w:t>. godine sa gradom Vrbovsko koji vodi evidenciju i obročnu otplatu za iste</w:t>
      </w:r>
      <w:r w:rsidR="001D3130">
        <w:rPr>
          <w:rFonts w:ascii="Times New Roman" w:hAnsi="Times New Roman"/>
          <w:bCs/>
        </w:rPr>
        <w:t xml:space="preserve">  u iznosu 402,81 eura.</w:t>
      </w:r>
    </w:p>
    <w:p w14:paraId="05419B42" w14:textId="1213C5FB" w:rsidR="007F384E" w:rsidRDefault="001D3130" w:rsidP="00772ED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Stanje </w:t>
      </w:r>
      <w:r w:rsidR="00934519">
        <w:rPr>
          <w:rFonts w:ascii="Times New Roman" w:hAnsi="Times New Roman"/>
        </w:rPr>
        <w:t xml:space="preserve">neplaćenih </w:t>
      </w:r>
      <w:r>
        <w:rPr>
          <w:rFonts w:ascii="Times New Roman" w:hAnsi="Times New Roman"/>
        </w:rPr>
        <w:t xml:space="preserve">obveza na dan 31.12.2024.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D3130" w14:paraId="0628918F" w14:textId="77777777" w:rsidTr="00AD5437">
        <w:tc>
          <w:tcPr>
            <w:tcW w:w="3020" w:type="dxa"/>
          </w:tcPr>
          <w:p w14:paraId="6875C393" w14:textId="4A075FA2" w:rsidR="001D3130" w:rsidRDefault="00934519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Obveze</w:t>
            </w:r>
            <w:r w:rsidR="001D3130">
              <w:rPr>
                <w:rFonts w:ascii="Times New Roman" w:hAnsi="Times New Roman"/>
              </w:rPr>
              <w:t xml:space="preserve"> na dan 31.12.2024.</w:t>
            </w:r>
          </w:p>
        </w:tc>
        <w:tc>
          <w:tcPr>
            <w:tcW w:w="3021" w:type="dxa"/>
          </w:tcPr>
          <w:p w14:paraId="08DCD923" w14:textId="1807EBAB" w:rsidR="001D3130" w:rsidRDefault="001D3130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Nedospjel</w:t>
            </w:r>
            <w:r w:rsidR="00934519">
              <w:rPr>
                <w:rFonts w:ascii="Times New Roman" w:hAnsi="Times New Roman"/>
              </w:rPr>
              <w:t>e obveze</w:t>
            </w:r>
          </w:p>
        </w:tc>
        <w:tc>
          <w:tcPr>
            <w:tcW w:w="3021" w:type="dxa"/>
          </w:tcPr>
          <w:p w14:paraId="1B82DB6C" w14:textId="76D8FB35" w:rsidR="001D3130" w:rsidRDefault="001D3130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Dospjel</w:t>
            </w:r>
            <w:r w:rsidR="00934519">
              <w:rPr>
                <w:rFonts w:ascii="Times New Roman" w:hAnsi="Times New Roman"/>
              </w:rPr>
              <w:t>e obveze</w:t>
            </w:r>
          </w:p>
        </w:tc>
      </w:tr>
      <w:tr w:rsidR="001D3130" w14:paraId="0FDEEA2F" w14:textId="77777777" w:rsidTr="00AD5437">
        <w:tc>
          <w:tcPr>
            <w:tcW w:w="3020" w:type="dxa"/>
          </w:tcPr>
          <w:p w14:paraId="5D64CDD3" w14:textId="77777777" w:rsidR="001D3130" w:rsidRDefault="001D3130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Ukupno:</w:t>
            </w:r>
          </w:p>
        </w:tc>
        <w:tc>
          <w:tcPr>
            <w:tcW w:w="3021" w:type="dxa"/>
          </w:tcPr>
          <w:p w14:paraId="7F38FE4D" w14:textId="1D27ACAE" w:rsidR="001D3130" w:rsidRDefault="00934519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141.704,49 eura</w:t>
            </w:r>
          </w:p>
        </w:tc>
        <w:tc>
          <w:tcPr>
            <w:tcW w:w="3021" w:type="dxa"/>
          </w:tcPr>
          <w:p w14:paraId="4880CA55" w14:textId="266EECB0" w:rsidR="001D3130" w:rsidRDefault="001D3130" w:rsidP="00AD54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r w:rsidR="00934519">
              <w:rPr>
                <w:rFonts w:ascii="Times New Roman" w:hAnsi="Times New Roman"/>
              </w:rPr>
              <w:t xml:space="preserve"> eura</w:t>
            </w:r>
          </w:p>
        </w:tc>
      </w:tr>
    </w:tbl>
    <w:p w14:paraId="4427DB77" w14:textId="087AE42C" w:rsidR="007F384E" w:rsidRDefault="007F384E" w:rsidP="00772ED8">
      <w:pPr>
        <w:rPr>
          <w:rFonts w:ascii="Times New Roman" w:hAnsi="Times New Roman"/>
        </w:rPr>
      </w:pPr>
    </w:p>
    <w:p w14:paraId="355EBE97" w14:textId="5E54F852" w:rsidR="00934519" w:rsidRPr="00934519" w:rsidRDefault="00934519" w:rsidP="00934519">
      <w:pPr>
        <w:rPr>
          <w:rFonts w:ascii="Times New Roman" w:hAnsi="Times New Roman"/>
          <w:sz w:val="20"/>
          <w:szCs w:val="20"/>
        </w:rPr>
      </w:pPr>
      <w:r w:rsidRPr="00934519">
        <w:rPr>
          <w:rFonts w:ascii="Times New Roman" w:hAnsi="Times New Roman"/>
        </w:rPr>
        <w:t>Ukupne nedospjele obv</w:t>
      </w:r>
      <w:r>
        <w:rPr>
          <w:rFonts w:ascii="Times New Roman" w:hAnsi="Times New Roman"/>
        </w:rPr>
        <w:t>e</w:t>
      </w:r>
      <w:r w:rsidRPr="00934519">
        <w:rPr>
          <w:rFonts w:ascii="Times New Roman" w:hAnsi="Times New Roman"/>
        </w:rPr>
        <w:t xml:space="preserve">ze odnose se na </w:t>
      </w:r>
      <w:r w:rsidRPr="00934519">
        <w:rPr>
          <w:rFonts w:ascii="Times New Roman" w:hAnsi="Times New Roman"/>
        </w:rPr>
        <w:t>obveza za zaposlene u iznosu 108.692,89 eura koja se odnosi  na obračunatu plaću i materijalna prava</w:t>
      </w:r>
      <w:r w:rsidR="00B40146">
        <w:rPr>
          <w:rFonts w:ascii="Times New Roman" w:hAnsi="Times New Roman"/>
        </w:rPr>
        <w:t xml:space="preserve"> zaposlenih</w:t>
      </w:r>
      <w:r w:rsidRPr="00934519">
        <w:rPr>
          <w:rFonts w:ascii="Times New Roman" w:hAnsi="Times New Roman"/>
        </w:rPr>
        <w:t xml:space="preserve"> za mjesec prosinac 2024 godine</w:t>
      </w:r>
      <w:r w:rsidRPr="0093451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, </w:t>
      </w:r>
      <w:r w:rsidRPr="00934519">
        <w:rPr>
          <w:rFonts w:ascii="Times New Roman" w:hAnsi="Times New Roman"/>
          <w:bCs/>
        </w:rPr>
        <w:t>obveze za materijalne rashode u iznosu 15.584,20 eura</w:t>
      </w:r>
      <w:r>
        <w:rPr>
          <w:rFonts w:ascii="Times New Roman" w:hAnsi="Times New Roman"/>
        </w:rPr>
        <w:t>, o</w:t>
      </w:r>
      <w:r w:rsidRPr="00934519">
        <w:rPr>
          <w:rFonts w:ascii="Times New Roman" w:hAnsi="Times New Roman"/>
          <w:bCs/>
        </w:rPr>
        <w:t xml:space="preserve">bveze za financijske rashode </w:t>
      </w:r>
      <w:r>
        <w:rPr>
          <w:rFonts w:ascii="Times New Roman" w:hAnsi="Times New Roman"/>
          <w:bCs/>
        </w:rPr>
        <w:t xml:space="preserve"> koji </w:t>
      </w:r>
      <w:r w:rsidRPr="00934519">
        <w:rPr>
          <w:rFonts w:ascii="Times New Roman" w:hAnsi="Times New Roman"/>
          <w:bCs/>
        </w:rPr>
        <w:t xml:space="preserve">iznose 16,19 eura </w:t>
      </w:r>
      <w:r>
        <w:rPr>
          <w:rFonts w:ascii="Times New Roman" w:hAnsi="Times New Roman"/>
          <w:bCs/>
        </w:rPr>
        <w:t>(</w:t>
      </w:r>
      <w:r w:rsidRPr="00934519">
        <w:rPr>
          <w:rFonts w:ascii="Times New Roman" w:hAnsi="Times New Roman"/>
          <w:bCs/>
        </w:rPr>
        <w:t>usluge platnog prometa za prosinac 20</w:t>
      </w:r>
      <w:r>
        <w:rPr>
          <w:rFonts w:ascii="Times New Roman" w:hAnsi="Times New Roman"/>
          <w:bCs/>
        </w:rPr>
        <w:t xml:space="preserve">24), te </w:t>
      </w:r>
      <w:r w:rsidRPr="00934519">
        <w:rPr>
          <w:rFonts w:ascii="Times New Roman" w:hAnsi="Times New Roman"/>
          <w:bCs/>
        </w:rPr>
        <w:t>ostale tekuće obveze u iznosu 17.411,31 eura</w:t>
      </w:r>
      <w:r>
        <w:rPr>
          <w:rFonts w:ascii="Times New Roman" w:hAnsi="Times New Roman"/>
          <w:bCs/>
        </w:rPr>
        <w:t xml:space="preserve"> (</w:t>
      </w:r>
      <w:r w:rsidRPr="00934519">
        <w:rPr>
          <w:rFonts w:ascii="Times New Roman" w:hAnsi="Times New Roman"/>
          <w:bCs/>
        </w:rPr>
        <w:t>doprinos</w:t>
      </w:r>
      <w:r w:rsidR="00B40146">
        <w:rPr>
          <w:rFonts w:ascii="Times New Roman" w:hAnsi="Times New Roman"/>
          <w:bCs/>
        </w:rPr>
        <w:t>i</w:t>
      </w:r>
      <w:r w:rsidRPr="00934519">
        <w:rPr>
          <w:rFonts w:ascii="Times New Roman" w:hAnsi="Times New Roman"/>
          <w:bCs/>
        </w:rPr>
        <w:t xml:space="preserve"> na plaću i materijalna prav</w:t>
      </w:r>
      <w:r w:rsidR="00B40146">
        <w:rPr>
          <w:rFonts w:ascii="Times New Roman" w:hAnsi="Times New Roman"/>
          <w:bCs/>
        </w:rPr>
        <w:t>a</w:t>
      </w:r>
      <w:r w:rsidRPr="00934519">
        <w:rPr>
          <w:rFonts w:ascii="Times New Roman" w:hAnsi="Times New Roman"/>
        </w:rPr>
        <w:t>.,</w:t>
      </w:r>
      <w:r w:rsidR="00B40146">
        <w:rPr>
          <w:rFonts w:ascii="Times New Roman" w:hAnsi="Times New Roman"/>
        </w:rPr>
        <w:t xml:space="preserve"> </w:t>
      </w:r>
      <w:r w:rsidRPr="00934519">
        <w:rPr>
          <w:rFonts w:ascii="Times New Roman" w:hAnsi="Times New Roman"/>
          <w:bCs/>
        </w:rPr>
        <w:t>povrat više uplaćenih režijskih troškova u proračun PGŽ</w:t>
      </w:r>
      <w:r w:rsidR="00B40146">
        <w:rPr>
          <w:rFonts w:ascii="Times New Roman" w:hAnsi="Times New Roman"/>
          <w:bCs/>
        </w:rPr>
        <w:t xml:space="preserve">, </w:t>
      </w:r>
      <w:r w:rsidRPr="00934519">
        <w:rPr>
          <w:rFonts w:ascii="Times New Roman" w:hAnsi="Times New Roman"/>
          <w:bCs/>
        </w:rPr>
        <w:t>obveze za bolovanje na teret HZZO</w:t>
      </w:r>
      <w:r w:rsidR="00B40146">
        <w:rPr>
          <w:rFonts w:ascii="Times New Roman" w:hAnsi="Times New Roman"/>
          <w:bCs/>
        </w:rPr>
        <w:t>) sve</w:t>
      </w:r>
      <w:r w:rsidRPr="00934519">
        <w:rPr>
          <w:rFonts w:ascii="Times New Roman" w:hAnsi="Times New Roman"/>
          <w:bCs/>
        </w:rPr>
        <w:t xml:space="preserve"> sa dospijećem u </w:t>
      </w:r>
      <w:r w:rsidR="00B40146">
        <w:rPr>
          <w:rFonts w:ascii="Times New Roman" w:hAnsi="Times New Roman"/>
          <w:bCs/>
        </w:rPr>
        <w:t xml:space="preserve"> siječnju </w:t>
      </w:r>
      <w:r w:rsidRPr="00934519">
        <w:rPr>
          <w:rFonts w:ascii="Times New Roman" w:hAnsi="Times New Roman"/>
          <w:bCs/>
        </w:rPr>
        <w:t>2025. godin</w:t>
      </w:r>
      <w:r w:rsidR="00B40146">
        <w:rPr>
          <w:rFonts w:ascii="Times New Roman" w:hAnsi="Times New Roman"/>
          <w:bCs/>
        </w:rPr>
        <w:t>e</w:t>
      </w:r>
    </w:p>
    <w:p w14:paraId="6D90235B" w14:textId="0EC27023" w:rsidR="00934519" w:rsidRDefault="00934519" w:rsidP="00934519">
      <w:pPr>
        <w:rPr>
          <w:rFonts w:ascii="Times New Roman" w:hAnsi="Times New Roman"/>
        </w:rPr>
      </w:pPr>
    </w:p>
    <w:p w14:paraId="6D716955" w14:textId="77777777" w:rsidR="007F384E" w:rsidRPr="00FB4A8F" w:rsidRDefault="007F384E" w:rsidP="00772ED8">
      <w:pPr>
        <w:rPr>
          <w:rFonts w:ascii="Times New Roman" w:hAnsi="Times New Roman"/>
        </w:rPr>
      </w:pPr>
    </w:p>
    <w:p w14:paraId="3016DD46" w14:textId="77777777" w:rsidR="00FB4A8F" w:rsidRPr="00772ED8" w:rsidRDefault="00FB4A8F" w:rsidP="00772ED8">
      <w:pPr>
        <w:rPr>
          <w:rFonts w:ascii="Times New Roman" w:hAnsi="Times New Roman"/>
        </w:rPr>
      </w:pPr>
    </w:p>
    <w:sectPr w:rsidR="00FB4A8F" w:rsidRPr="0077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11E9"/>
    <w:multiLevelType w:val="hybridMultilevel"/>
    <w:tmpl w:val="51D018BE"/>
    <w:lvl w:ilvl="0" w:tplc="95F09C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9657C"/>
    <w:multiLevelType w:val="multilevel"/>
    <w:tmpl w:val="02CA5D4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2744C5"/>
    <w:multiLevelType w:val="hybridMultilevel"/>
    <w:tmpl w:val="F4561C2A"/>
    <w:lvl w:ilvl="0" w:tplc="CC7433D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7356D"/>
    <w:multiLevelType w:val="hybridMultilevel"/>
    <w:tmpl w:val="B47EC8D2"/>
    <w:lvl w:ilvl="0" w:tplc="3BFEE1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D4CA3"/>
    <w:multiLevelType w:val="hybridMultilevel"/>
    <w:tmpl w:val="EDFEC0BC"/>
    <w:lvl w:ilvl="0" w:tplc="76529F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266E4"/>
    <w:multiLevelType w:val="hybridMultilevel"/>
    <w:tmpl w:val="F55A0F66"/>
    <w:lvl w:ilvl="0" w:tplc="8150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E67F2"/>
    <w:multiLevelType w:val="hybridMultilevel"/>
    <w:tmpl w:val="5EBCC7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72"/>
    <w:rsid w:val="0008026A"/>
    <w:rsid w:val="000863CB"/>
    <w:rsid w:val="000B77A9"/>
    <w:rsid w:val="000D04EB"/>
    <w:rsid w:val="000F432A"/>
    <w:rsid w:val="001140DB"/>
    <w:rsid w:val="001302CA"/>
    <w:rsid w:val="00145322"/>
    <w:rsid w:val="001603F9"/>
    <w:rsid w:val="00181541"/>
    <w:rsid w:val="001851B1"/>
    <w:rsid w:val="0019201C"/>
    <w:rsid w:val="001D3130"/>
    <w:rsid w:val="0021266D"/>
    <w:rsid w:val="00221134"/>
    <w:rsid w:val="0024193D"/>
    <w:rsid w:val="002557C0"/>
    <w:rsid w:val="002604E4"/>
    <w:rsid w:val="0026586B"/>
    <w:rsid w:val="002679C8"/>
    <w:rsid w:val="002B0189"/>
    <w:rsid w:val="00345DC0"/>
    <w:rsid w:val="003C66AD"/>
    <w:rsid w:val="003D760B"/>
    <w:rsid w:val="003E2E77"/>
    <w:rsid w:val="0042171F"/>
    <w:rsid w:val="00482E80"/>
    <w:rsid w:val="004A2829"/>
    <w:rsid w:val="004A5267"/>
    <w:rsid w:val="004B015C"/>
    <w:rsid w:val="004C6A99"/>
    <w:rsid w:val="0054109E"/>
    <w:rsid w:val="00576AB9"/>
    <w:rsid w:val="0060337F"/>
    <w:rsid w:val="00603720"/>
    <w:rsid w:val="006A4C72"/>
    <w:rsid w:val="006B65B5"/>
    <w:rsid w:val="007131C7"/>
    <w:rsid w:val="00772ED8"/>
    <w:rsid w:val="007B73F8"/>
    <w:rsid w:val="007C4DA8"/>
    <w:rsid w:val="007E6D2E"/>
    <w:rsid w:val="007F384E"/>
    <w:rsid w:val="0082425E"/>
    <w:rsid w:val="00832E18"/>
    <w:rsid w:val="008F4DF9"/>
    <w:rsid w:val="00934519"/>
    <w:rsid w:val="00934921"/>
    <w:rsid w:val="0095409E"/>
    <w:rsid w:val="00956339"/>
    <w:rsid w:val="00981840"/>
    <w:rsid w:val="00982898"/>
    <w:rsid w:val="00984695"/>
    <w:rsid w:val="00991D6E"/>
    <w:rsid w:val="009A5319"/>
    <w:rsid w:val="009B1FE9"/>
    <w:rsid w:val="009D79BD"/>
    <w:rsid w:val="009E3FEC"/>
    <w:rsid w:val="009F2E46"/>
    <w:rsid w:val="009F6598"/>
    <w:rsid w:val="009F72AA"/>
    <w:rsid w:val="00A614E6"/>
    <w:rsid w:val="00AA55DD"/>
    <w:rsid w:val="00AC5877"/>
    <w:rsid w:val="00AE7FED"/>
    <w:rsid w:val="00B00281"/>
    <w:rsid w:val="00B37693"/>
    <w:rsid w:val="00B40146"/>
    <w:rsid w:val="00B408A9"/>
    <w:rsid w:val="00B50C83"/>
    <w:rsid w:val="00B63F09"/>
    <w:rsid w:val="00B6515C"/>
    <w:rsid w:val="00BD1069"/>
    <w:rsid w:val="00BF4119"/>
    <w:rsid w:val="00C01DBD"/>
    <w:rsid w:val="00C71C14"/>
    <w:rsid w:val="00C803DD"/>
    <w:rsid w:val="00C91464"/>
    <w:rsid w:val="00CA783D"/>
    <w:rsid w:val="00CC6103"/>
    <w:rsid w:val="00D17128"/>
    <w:rsid w:val="00DA1CDC"/>
    <w:rsid w:val="00DB1554"/>
    <w:rsid w:val="00DD5887"/>
    <w:rsid w:val="00E17651"/>
    <w:rsid w:val="00E4685B"/>
    <w:rsid w:val="00E5447E"/>
    <w:rsid w:val="00E661F4"/>
    <w:rsid w:val="00E77E22"/>
    <w:rsid w:val="00EB37D9"/>
    <w:rsid w:val="00EB690B"/>
    <w:rsid w:val="00EC1C59"/>
    <w:rsid w:val="00F240B6"/>
    <w:rsid w:val="00F2603E"/>
    <w:rsid w:val="00F370A7"/>
    <w:rsid w:val="00FB4A8F"/>
    <w:rsid w:val="00F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7654"/>
  <w15:chartTrackingRefBased/>
  <w15:docId w15:val="{9AE30FCC-5E3C-4678-977C-4F4712F4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0F43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82E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82E80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C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9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6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Učiteljica</cp:lastModifiedBy>
  <cp:revision>6</cp:revision>
  <dcterms:created xsi:type="dcterms:W3CDTF">2025-03-12T12:00:00Z</dcterms:created>
  <dcterms:modified xsi:type="dcterms:W3CDTF">2025-03-21T09:43:00Z</dcterms:modified>
</cp:coreProperties>
</file>